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Government actors may not pressure, incentivize, or coerce private platforms or institutions to suppress speech on their behalf; such an act constitutes the same constitutional violation as direct censorship and the proxy does not launder it. This provision applies equally to digital and physical media. Government may not impose viewpoint-based conditions on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protections: §1.9.a — absolute right to refuse any medical procedure or biological sampling; no mandate is permissible under any emergency without uncoerced revocable written consent. §1.9.b — individuals own their personal data, likeness, and biometric information; government data collection is subject to strict necessity limits and may not build behavioral profiles. §1.9.c — cryptographic keys are private property; no court or agency may compel their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Housing access for persons who cannot independently secure it is a Basic Needs Floor obligation under §10.1. Housing exclusion is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No person within the Republic's jurisdiction may be returned, expelled, or extradited to any territory where they face genuine risk of persecution, torture, or deprivation of life based on race, religion, nationality, political opinion, or group membership. No exception applies for immigration status, mode of entry, or any emergency declaration. A pending §6.4 asylum application stays removal.</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without individual identification is prohibited outright. Private-sector entities cannot be compelled to collect or disclose on the government's behalf beyond what independent judicial authorization would permit. The Legislature may establish data minimization and retention limits for government-held data.</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All domestic intelligence operations against Republic citizens are prohibited and constitutionally void. Any such order is reported to the NRS by the EI. This prohibition is non-derogable — no emergency, treaty, or statute can suspend it.</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The explicit provision that closes the gap between freedom of association (§1.6) and privacy in associations. §1.6 protects the right to associate; §1.29.e protects the right to keep private who you associate with and the fact that you do. A government can comply with §1.6 while violating §1.29.e — it can refrain from prohibiting membership while systematically mapping it. The NAACP v. Alabama problem: compelling a membership list doesn't stop anyone from associating, but it destroys the practical value of the protection. Government mapping of associations — who a person knows, meets, communicates with, or joins — requires the same specific judicial authorization as communications collection under §1.29.c. Bulk mapping is prohibited on the same terms as bulk collection. The general right in §1.29 listed "associations" but didn't specify this protection explicitly; §1.29.e closes that interpretive gap.</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opening provision of the Presidential domain. Authority is defined and bounded — military command, foreign affairs, intelligence, treaty negotiation, trade agreements, domain officer appointments, and the domain-scoped veto. The structure is intentional: Presidential authority is enumerated; PM authority is residual. Any question about which executive holds a function resolves to the PM unless the President can point to a specific enumerated power here.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Privacy Firewall</w:t>
      </w:r>
    </w:p>
    <w:p>
      <w:pPr>
        <w:spacing w:after="120" w:before="0"/>
        <w:ind w:left="863"/>
        <w:jc w:val="both"/>
      </w:pPr>
      <w:r>
        <w:rPr>
          <w:rFonts w:ascii="Garamond" w:cs="Garamond" w:eastAsia="Garamond" w:hAnsi="Garamond"/>
          <w:color w:val="2a2520"/>
          <w:sz w:val="22"/>
          <w:szCs w:val="22"/>
        </w:rPr>
        <w:t xml:space="preserve">Cross-references §1.29.d as the authoritative Intelligence Firewall provision. The prohibition on domestic intelligence operations against Republic citizens is non-derogable and permanent — governed by §1.29.d. §2.1.e previously restated the prohibition in language not identical to §1.29.d. Now redirects all references to §1.29.d. Any order in violation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Domain-scoped veto — deliberately the most limited presidential veto in any constitutional design. The President may veto only bills raising a genuine constitutional concern within the security domain: military operations, intelligence, treaty obligations, border security. A general or speculative security connection is not sufficient. The SC reviews any presidential veto within 48 hours on petition from either Speaker — prevents the veto from becoming a de facto policy lever dressed in security language.</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Conflict resolution during active military operations — four steps: written NRS objection within 6 hours; 12-hour negotiation window; SC emergency domain determination within 24 hours on petition; pending ruling, Presidential order governs only for operations directly connected to the active military situation while all other government functions follow the PM. Prevents either executive from using military operations as cover to assert authority over the other's domain.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President negotiates and concludes trade agreements; PM written concurrence required where materially affecting the domestic economy. The SC ruled in The Concurrence Dispute (Year 28) that national treatment obligations within Republic territory require PM concurrence — they directly govern how domestic industry is regulated. Where PM concurrence is withheld, domestic provisions may be transmitted to the House Speaker as ordinary legislation. Ratification by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domain opening — residual authority. Everything not enumerated as Presidential is the PM's. Domestic policy, fiscal policy, BNF administration, legislation review, judicial nominations, independent agency appointments, PM clemency. The PM answers to the House through the confidence mechanism — unlike the President, who is directly elected and does not require legislative confidence.</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The Record System Mandate</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Duty of Refusal</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Civil Service Integrity</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Information Rights — the PM has a constitutional right to full and timely briefing on all national security matters affecting domestic interests. The President may not withhold information from the PM on grounds of security classification where the PM's domestic responsibilities are genuinely engaged.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Acting PM provisions — who governs when the PM cannot. The most senior Domestic Affairs Council Officer (SDACO) serves as Caretaker PM. The SDACO's authority is limited to maintaining existing policy and emergency functions. Caretaker status expires when a new PM takes confidence.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Selection</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Caretaker Protocol</w:t>
      </w:r>
    </w:p>
    <w:p>
      <w:pPr>
        <w:spacing w:after="120" w:before="0"/>
        <w:ind w:left="863"/>
        <w:jc w:val="both"/>
      </w:pPr>
      <w:r>
        <w:rPr>
          <w:rFonts w:ascii="Garamond" w:cs="Garamond" w:eastAsia="Garamond" w:hAnsi="Garamond"/>
          <w:color w:val="2a2520"/>
          <w:sz w:val="22"/>
          <w:szCs w:val="22"/>
        </w:rPr>
        <w:t xml:space="preserve">Initial election of the PM — the House elects the PM by absolute majority of full seated membership within 30 days of any general election. The House may attempt to elect a PM at any time. If the House has not elected a PM within 30 days, the SDACO continues as Caretaker PM. Where the House has not elected a PM within 30 days, the Senate may, by 2/3 supermajority of full seated membership, designate a serving House member as PM. A PM designated under this provision holds full constitutional PM authority and is subject to the same obligations, term limits, and removal procedures as a PM elected by the House, including constructive no-confidence under §2.3.a and the 8-year maximum under §2.3.b. If the House subsequently elects a PM by absolute majority, that election terminates the Senate designation.</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Legislature may override by 2/3 of both chambers simultaneously. The PM must give the LI's constitutional analysis due consideration before issuing a Suspensive Veto. A veto issued purely for political reasons without constitutional grounds is a constitutional breach. Used in The Stagflation Years when the PM correctly identified the Mandate Rebalancing Act as void under §10.4.b.</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Objection Limits</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Emergency Legislative Continuity</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Presidential Succession — a complete framework for filling a Presidential vacancy. The Speaker of the Senate serves as Acting President, immediately triggering a special presidential election. The design keeps succession within the elected political class rather than delegating it to an appointed official.</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Incapacity Certification</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if temporary incapacity is certified. Failure to conduct the mandatory 90-day assessment is a constitutional failure for both the PM and the most senior SC justice.</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Both executives must publish all official acts — orders, certifications, vetoes, objections, determinations — to the NRS within 48 hours of issuance. No executive may classify, delay, or suppress publication of an act this constitution requires to be published. Failure to publish within 48 hours is a constitutional compliance breach; a late-published act is not void.</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House is the proportional chamber — seats allocated by population, minimum one per State, floor of one per 750,000 citizens, self-scaling with population. The opening sentence previously read "the Legislature is the Republic's legislature" — circular and uninformative. Now reads "The Republic's legislature is bicameral." The Legislature may set a higher membership; must justify any formula producing fewer than one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The provision previously contained a lengthy inline explanation of why the LI (not the EI) conducts the census — accurate but belonging in commentary. Operative rule only: LI conducts the census.</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Caretaker Activation and PM Formation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House Term Limits</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Senator Terms and Limits</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Senate Speaker Role Limit</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 treaties require 2/3 Senate majority. Two sub-provisions address failed ratification: §3.2.e.i (standalone domestic provisions may proceed as ordinary legislation) and §3.2.e.ii (bilateral treaties designed as integrated wholes must be renegotiated, not disaggregated). The Nordmere Cases established the factual test for which sub-provision applies.</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the treaty is bilateral and designed as an integrated whole — reciprocal obligations that only make sense together — the President may not disaggregate and transmit domestic provisions. The treaty must be renegotiated or abandoned. The Nordmere Cases: Case 2 applied this provision where bilateral design made domestic provisions interdependent.</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Impeachment Trials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Survivor Quorum — Catastrophic Casualty Events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Speaker Vacancy</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SC's 48-hour review under §2.1.f.i occurs before any override vote, meaning the constitutional question is settled before the political question of the override.</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Prohibited Inputs</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Drawing Authority — States</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National Compliance Review</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Court Adjudication</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Continuity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House Expulsion</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Senate Expulsion</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Anti-Weaponization Threshold</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Consequences and Restoration</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Recall — States and Territories</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Vacancy Filling — States and Territories</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Oversight</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pPr>
        <w:spacing w:after="60" w:before="200"/>
        <w:ind w:left="863"/>
      </w:pPr>
      <w:r>
        <w:rPr>
          <w:rFonts w:ascii="Courier New" w:cs="Courier New" w:eastAsia="Courier New" w:hAnsi="Courier New"/>
          <w:b/>
          <w:bCs/>
          <w:color w:val="1B2A4A"/>
          <w:sz w:val="18"/>
          <w:szCs w:val="18"/>
        </w:rPr>
        <w:t xml:space="preserve">§3.7.e  </w:t>
      </w:r>
      <w:r>
        <w:rPr>
          <w:rFonts w:ascii="Garamond" w:cs="Garamond" w:eastAsia="Garamond" w:hAnsi="Garamond"/>
          <w:b/>
          <w:bCs/>
          <w:color w:val="1B2A4A"/>
          <w:sz w:val="22"/>
          <w:szCs w:val="22"/>
        </w:rPr>
        <w:t xml:space="preserve">Limits</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PM nominates within 90 days; the Senate confirms by a supermajority (55–67% of full seated membership). Senate confirmation corrected from House in v157. Four sub-provisions now numbered §4.1.b.i–iv: (i) Candidate Disclosure and EI Review — PM submits disclosure record to EI before confirmation vote; (ii) PM Failure — Senate Nomination — Senate may nominate if PM fails within 90 days; (iii) Prorated Confirmation Period — shortened period when nomination submitted late; (iv) 180-Day Constitutional Ceiling — no vacancy may remain unfilled beyond 180 days. Deemed Confirmation applies at the ceiling if no vote is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Temporary Associate Justice — the most senior Appellate Court judge by continuous service is automatically designated as Temporary Associate Justice within 5 days of any SC vacancy, without nomination or confirmation. Full vote in all cases. Cannot stand as a candidate for the seat they are temporarily filling. Ensures the SC always has nine participating justices. For purposes of this provision, "continuous service"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Judicial Recusal</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Concrete Cases Only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Organizational Standing</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Ripeness and Mootness</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enforcement would require an act the Legislature has defined as categorically unenforceable. A fourth ground — facially contrary to Article I — was removed as redundant. §15.6 Constitutional Supremacy already makes judgments contrary to Article I void by operation of law; enumerating it created interpretive surface area. The §15.6 cross-reference at the end of §4.4.a closes the gap cleanly.</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on the NRS are self-authenticating — no re-certification required. Professional licenses receive equivalent recognition across all States and Territories. The Legislature latitude language previously allowing the Legislature to define the "permissible scope" of supplementary requirements has been removed. §1.12 already prohibits state-specific professional licensing barriers; recognition is the constitutional default. §1.12 governs any departure from it. The two provisions working together are tighter than either separately.</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Limits — No Obligation Beyond Republic Borders</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Finality rule is now permanent rather than a default pending legislation. A judgment is final for §4.4.a purposes if it is not subject to an automatic stay under the issuing jurisdiction's procedural law, regardless of whether an appeal is pending. The Legislature may refine the finality standard for specific categories but cannot use pending-appeal status alone to block enforcement. The three-year statutory mandate for the Legislature to define finality and supplementary license requirements has been removed — finality is stated directly, and §1.12 governs licensing. The procedural framework mandate (filing forms, fee schedule, enforcement timeline) is retained.</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5+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complete within 90 days. This closes the gap created by §5.5.a's Grandfather Clause, which grants Day Zero citizenship to prior voters but leaves long-term residents who were denied voting rights by the predecessor government on the standard naturalization path — an inequity the accelerated process corrects.</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constitutional floor is stated directly in §5.4: the test must assess knowledge sufficient to understand the structure, powers, limits, and rights established by this Constitution. Any statute reducing the CLT below this floor is void and any citizen may challenge it in court. The Senate sets the standard by statute — raising it by simple majority, lowering it by 2/3 supermajority. That asymmetry makes degradation structurally harder than improvement without requiring anyone to certify anything. The old certification mechanism — where the CLT Administrator could block a Senate statute from taking effect — has been removed. An elected body should not be subject to veto by an appointed administrator. The floor is enforced by courts on challenge, not by an appointed officer's pre-emptive certification. The legislature may create a §3.7 statutory independent administrator to oversee CLT administration if it chooses; the constitution does not require it. Where the CLT Administrator position is vacant, the Judicial Inspectorate administers the Constitutional Logic Test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§6.1.a–b  </w:t>
      </w:r>
      <w:r>
        <w:rPr>
          <w:rFonts w:ascii="Garamond" w:cs="Garamond" w:eastAsia="Garamond" w:hAnsi="Garamond"/>
          <w:b/>
          <w:bCs/>
          <w:color w:val="1B2A4A"/>
          <w:sz w:val="22"/>
          <w:szCs w:val="22"/>
        </w:rPr>
        <w:t xml:space="preserve">The Dual Gate</w:t>
      </w:r>
    </w:p>
    <w:p>
      <w:pPr>
        <w:spacing w:after="120" w:before="0"/>
        <w:ind w:left="863"/>
        <w:jc w:val="both"/>
      </w:pPr>
      <w:r>
        <w:rPr>
          <w:rFonts w:ascii="Garamond" w:cs="Garamond" w:eastAsia="Garamond" w:hAnsi="Garamond"/>
          <w:color w:val="2a2520"/>
          <w:sz w:val="22"/>
          <w:szCs w:val="22"/>
        </w:rPr>
        <w:t xml:space="preserve">Legal residency requires passing both gates. Gate 1 is the federal substantive assessment — national standards that no State can circumvent. Gate 2 is State acceptance — no State can be forced to absorb unlimited immigration obligations without its participation. The dual-gate architecture prevents two failure modes simultaneously: race-to-the-bottom competition among States offering easy Gate 2 acceptance, and federal imposition of immigration outcomes that States must bear without agreement. The Presidential role (§6.1.c) is to set Gate 1 criteria by executive order within House-enacted parameters — giving the executive flexibility to respond to changing conditions without requiring constant legislative action.</w:t>
      </w: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concern — without publishing classified content. The in-camera review is outcome-determinative: either the security concern meets the constitutional standard and the denial stands, or it does not and recertification is ordered. This closes the "security claim as absolute veto" pathway while protecting genuine intelligence sources and methods.</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 but indefinite unreviewed detention is not constitutionally available. The Legislature must establish a framework with regular judicial review. 'Indefinite unreviewed detention is not a constitutionally available outcome' — one of the clearest lines in the document.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RCV nationally, preventing the geographic distortions of district-based winner-take-all systems. Votes transfer until one candidate holds a majority of active ballots nationwide. The national RCV tends to produce presidents who are the genuine second or third choice of a larger electorate — a broader mandate than first-preference plurality. This mechanism interacts with the regional combined score (§7.2.b–c): a candidate must achieve both a national majority and broad geographic distribution, preventing a president elected entirely by densely populated regional concentrations from claiming a national mandate.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mechanism favors the candidate with the broadest geographic distribution of support. A candidate who wins large margins in a few populous regions but has near-zero support elsewhere represents a fundamentally different governing coalition than a candidate with narrower leads distributed across all regions. The combined score is the constitution's structural requirement that the President represent the full polity — not merely its most concentrated population centers. This mechanism prevents the national RCV from being won by geographic concentration alone.</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Reports</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No Classification</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No Binding Force</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Non-Pursuit Disclosure</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Inspectorate Funding Guarantee</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Citizen Discrepancy Petition</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863"/>
      </w:pPr>
      <w:r>
        <w:rPr>
          <w:rFonts w:ascii="Courier New" w:cs="Courier New" w:eastAsia="Courier New" w:hAnsi="Courier New"/>
          <w:b/>
          <w:bCs/>
          <w:color w:val="1B2A4A"/>
          <w:sz w:val="18"/>
          <w:szCs w:val="18"/>
        </w:rPr>
        <w:t xml:space="preserve">§8.8.b  </w:t>
      </w:r>
      <w:r>
        <w:rPr>
          <w:rFonts w:ascii="Garamond" w:cs="Garamond" w:eastAsia="Garamond" w:hAnsi="Garamond"/>
          <w:b/>
          <w:bCs/>
          <w:color w:val="1B2A4A"/>
          <w:sz w:val="22"/>
          <w:szCs w:val="22"/>
        </w:rPr>
        <w:t xml:space="preserve">Publication</w:t>
      </w:r>
    </w:p>
    <w:p>
      <w:pPr>
        <w:spacing w:after="120" w:before="0"/>
        <w:ind w:left="863"/>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The eight-year joint assessment is the constitution's built-in self-evaluation mechanism — the document asking whether it is working as designed. Every eight years, the three Inspectorates jointly assess constitutional performance across all domains: Are rights enforced? Is the Inspectorate reporting mechanism functioning or being abused? Are fiscal obligations met? Is military subordination complete? Is NRS coverage comprehensive? The assessment creates a permanent longitudinal record allowing comparison across periods. No previous constitution has built a scheduled self-assessment into its text. The mechanism operationalizes the drafters' epistemic humility: the document cannot know in advance whether it works; it builds in the machinery to find out, permanently and publicly.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Distributed Custody</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Cryptographic Signing</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Technology Neutrality</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Migration Overlap Protocol</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Self-Authentication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Historical Records Preservation</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Cross-Jurisdictional Record Recognition</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863"/>
      </w:pPr>
      <w:r>
        <w:rPr>
          <w:rFonts w:ascii="Courier New" w:cs="Courier New" w:eastAsia="Courier New" w:hAnsi="Courier New"/>
          <w:b/>
          <w:bCs/>
          <w:color w:val="1B2A4A"/>
          <w:sz w:val="18"/>
          <w:szCs w:val="18"/>
        </w:rPr>
        <w:t xml:space="preserve">§9.3.a  </w:t>
      </w:r>
      <w:r>
        <w:rPr>
          <w:rFonts w:ascii="Garamond" w:cs="Garamond" w:eastAsia="Garamond" w:hAnsi="Garamond"/>
          <w:b/>
          <w:bCs/>
          <w:color w:val="1B2A4A"/>
          <w:sz w:val="22"/>
          <w:szCs w:val="22"/>
        </w:rPr>
        <w:t xml:space="preserve">RSA Technical Integrity Commission</w:t>
      </w:r>
    </w:p>
    <w:p>
      <w:pPr>
        <w:spacing w:after="120" w:before="0"/>
        <w:ind w:left="863"/>
        <w:jc w:val="both"/>
      </w:pPr>
      <w:r>
        <w:rPr>
          <w:rFonts w:ascii="Garamond" w:cs="Garamond" w:eastAsia="Garamond" w:hAnsi="Garamond"/>
          <w:color w:val="2a2520"/>
          <w:sz w:val="22"/>
          <w:szCs w:val="22"/>
        </w:rPr>
        <w:t xml:space="preserve">A decennial RSA Technical Integrity Commission reviews whether the NRS architecture continues to meet the constitutional requirements for distributed, tamper-evident operation established by §9.1. The Commission has publication authority only — it may not issue binding orders, impose penalties, or direct the RSA Director. Its findings are published jointly by all three Inspectorates to the NRS and cannot be withheld, suppressed, or altered after publication. Qualifications for pool eligibility, audit methodology and scope, working session parameters, compensation, and decennial trigger timing are established by statute.</w:t>
      </w:r>
    </w:p>
    <w:p>
      <w:pPr>
        <w:spacing w:after="60" w:before="200"/>
        <w:ind w:left="863"/>
      </w:pPr>
      <w:r>
        <w:rPr>
          <w:rFonts w:ascii="Courier New" w:cs="Courier New" w:eastAsia="Courier New" w:hAnsi="Courier New"/>
          <w:b/>
          <w:bCs/>
          <w:color w:val="1B2A4A"/>
          <w:sz w:val="18"/>
          <w:szCs w:val="18"/>
        </w:rPr>
        <w:t xml:space="preserve">§9.3.b  </w:t>
      </w:r>
      <w:r>
        <w:rPr>
          <w:rFonts w:ascii="Garamond" w:cs="Garamond" w:eastAsia="Garamond" w:hAnsi="Garamond"/>
          <w:b/>
          <w:bCs/>
          <w:color w:val="1B2A4A"/>
          <w:sz w:val="22"/>
          <w:szCs w:val="22"/>
        </w:rPr>
        <w:t xml:space="preserve">RSA Technical Pool &amp;#x2014; Constitution</w:t>
      </w:r>
    </w:p>
    <w:p>
      <w:pPr>
        <w:spacing w:after="120" w:before="0"/>
        <w:ind w:left="863"/>
        <w:jc w:val="both"/>
      </w:pPr>
      <w:r>
        <w:rPr>
          <w:rFonts w:ascii="Garamond" w:cs="Garamond" w:eastAsia="Garamond" w:hAnsi="Garamond"/>
          <w:color w:val="2a2520"/>
          <w:sz w:val="22"/>
          <w:szCs w:val="22"/>
        </w:rPr>
        <w:t xml:space="preserve">The President and PM each nominate one qualified person per year to the RSA Technical Pool. Each nominee must be confirmed by the Senate within 60 days of nomination by affirmative vote — no deemed-confirmed fallback applies to this position. Senate failure to vote within 60 days is a constitutional compliance failure published to the NRS by the LI. The pool is a public NRS record. Qualifications are defined by statute and certified by the JI at time of nomination. Over a ten-year cycle both executives may each nominate up to ten members, for a maximum pool of twenty confirmed members.</w:t>
      </w:r>
    </w:p>
    <w:p>
      <w:pPr>
        <w:spacing w:after="60" w:before="200"/>
        <w:ind w:left="863"/>
      </w:pPr>
      <w:r>
        <w:rPr>
          <w:rFonts w:ascii="Courier New" w:cs="Courier New" w:eastAsia="Courier New" w:hAnsi="Courier New"/>
          <w:b/>
          <w:bCs/>
          <w:color w:val="1B2A4A"/>
          <w:sz w:val="18"/>
          <w:szCs w:val="18"/>
        </w:rPr>
        <w:t xml:space="preserve">§9.3.c  </w:t>
      </w:r>
      <w:r>
        <w:rPr>
          <w:rFonts w:ascii="Garamond" w:cs="Garamond" w:eastAsia="Garamond" w:hAnsi="Garamond"/>
          <w:b/>
          <w:bCs/>
          <w:color w:val="1B2A4A"/>
          <w:sz w:val="22"/>
          <w:szCs w:val="22"/>
        </w:rPr>
        <w:t xml:space="preserve">Pool Reset</w:t>
      </w:r>
    </w:p>
    <w:p>
      <w:pPr>
        <w:spacing w:after="120" w:before="0"/>
        <w:ind w:left="863"/>
        <w:jc w:val="both"/>
      </w:pPr>
      <w:r>
        <w:rPr>
          <w:rFonts w:ascii="Garamond" w:cs="Garamond" w:eastAsia="Garamond" w:hAnsi="Garamond"/>
          <w:color w:val="2a2520"/>
          <w:sz w:val="22"/>
          <w:szCs w:val="22"/>
        </w:rPr>
        <w:t xml:space="preserve">The RSA Technical Pool resets after each decennial commission cycle. Previously confirmed pool members who did not serve on the commission may be re-nominated by either executive in the new cycle; fresh Senate confirmation under §9.3.b is required and no member carries forward automatically. Members who served on the commission are not eligible for re-nomination to the pool.</w:t>
      </w:r>
    </w:p>
    <w:p>
      <w:pPr>
        <w:spacing w:after="60" w:before="200"/>
        <w:ind w:left="863"/>
      </w:pPr>
      <w:r>
        <w:rPr>
          <w:rFonts w:ascii="Courier New" w:cs="Courier New" w:eastAsia="Courier New" w:hAnsi="Courier New"/>
          <w:b/>
          <w:bCs/>
          <w:color w:val="1B2A4A"/>
          <w:sz w:val="18"/>
          <w:szCs w:val="18"/>
        </w:rPr>
        <w:t xml:space="preserve">§9.3.d  </w:t>
      </w:r>
      <w:r>
        <w:rPr>
          <w:rFonts w:ascii="Garamond" w:cs="Garamond" w:eastAsia="Garamond" w:hAnsi="Garamond"/>
          <w:b/>
          <w:bCs/>
          <w:color w:val="1B2A4A"/>
          <w:sz w:val="22"/>
          <w:szCs w:val="22"/>
        </w:rPr>
        <w:t xml:space="preserve">Commission Draw</w:t>
      </w:r>
    </w:p>
    <w:p>
      <w:pPr>
        <w:spacing w:after="120" w:before="0"/>
        <w:ind w:left="863"/>
        <w:jc w:val="both"/>
      </w:pPr>
      <w:r>
        <w:rPr>
          <w:rFonts w:ascii="Garamond" w:cs="Garamond" w:eastAsia="Garamond" w:hAnsi="Garamond"/>
          <w:color w:val="2a2520"/>
          <w:sz w:val="22"/>
          <w:szCs w:val="22"/>
        </w:rPr>
        <w:t xml:space="preserve">When the decennial review is triggered, all three Inspectorates jointly constitute the Commission by public lottery, drawing five members at random from the eligible pool. The draw is conducted in a public session; all three Inspectorates certify the result and publish it to the NRS before the session closes. The remaining pool members constitute the standing replacement pool for the duration of the Commission's working period.</w:t>
      </w:r>
    </w:p>
    <w:p>
      <w:pPr>
        <w:spacing w:after="60" w:before="200"/>
        <w:ind w:left="863"/>
      </w:pPr>
      <w:r>
        <w:rPr>
          <w:rFonts w:ascii="Courier New" w:cs="Courier New" w:eastAsia="Courier New" w:hAnsi="Courier New"/>
          <w:b/>
          <w:bCs/>
          <w:color w:val="1B2A4A"/>
          <w:sz w:val="18"/>
          <w:szCs w:val="18"/>
        </w:rPr>
        <w:t xml:space="preserve">§9.3.e  </w:t>
      </w:r>
      <w:r>
        <w:rPr>
          <w:rFonts w:ascii="Garamond" w:cs="Garamond" w:eastAsia="Garamond" w:hAnsi="Garamond"/>
          <w:b/>
          <w:bCs/>
          <w:color w:val="1B2A4A"/>
          <w:sz w:val="22"/>
          <w:szCs w:val="22"/>
        </w:rPr>
        <w:t xml:space="preserve">Commission Replacement</w:t>
      </w:r>
    </w:p>
    <w:p>
      <w:pPr>
        <w:spacing w:after="120" w:before="0"/>
        <w:ind w:left="863"/>
        <w:jc w:val="both"/>
      </w:pPr>
      <w:r>
        <w:rPr>
          <w:rFonts w:ascii="Garamond" w:cs="Garamond" w:eastAsia="Garamond" w:hAnsi="Garamond"/>
          <w:color w:val="2a2520"/>
          <w:sz w:val="22"/>
          <w:szCs w:val="22"/>
        </w:rPr>
        <w:t xml:space="preserve">If a Commission member must be replaced during the review period — through ineligibility, withdrawal, or disqualification — all three Inspectorates draw one replacement at random from the remaining eligible pool members using the same public lottery procedure under §9.3.d. The replacement member holds the same authority and obligations as the member they replace.</w:t>
      </w:r>
    </w:p>
    <w:p>
      <w:pPr>
        <w:spacing w:after="60" w:before="200"/>
        <w:ind w:left="863"/>
      </w:pPr>
      <w:r>
        <w:rPr>
          <w:rFonts w:ascii="Courier New" w:cs="Courier New" w:eastAsia="Courier New" w:hAnsi="Courier New"/>
          <w:b/>
          <w:bCs/>
          <w:color w:val="1B2A4A"/>
          <w:sz w:val="18"/>
          <w:szCs w:val="18"/>
        </w:rPr>
        <w:t xml:space="preserve">§9.3.f  </w:t>
      </w:r>
      <w:r>
        <w:rPr>
          <w:rFonts w:ascii="Garamond" w:cs="Garamond" w:eastAsia="Garamond" w:hAnsi="Garamond"/>
          <w:b/>
          <w:bCs/>
          <w:color w:val="1B2A4A"/>
          <w:sz w:val="22"/>
          <w:szCs w:val="22"/>
        </w:rPr>
        <w:t xml:space="preserve">Tri-Inspectorate Oversight</w:t>
      </w:r>
    </w:p>
    <w:p>
      <w:pPr>
        <w:spacing w:after="120" w:before="0"/>
        <w:ind w:left="863"/>
        <w:jc w:val="both"/>
      </w:pPr>
      <w:r>
        <w:rPr>
          <w:rFonts w:ascii="Garamond" w:cs="Garamond" w:eastAsia="Garamond" w:hAnsi="Garamond"/>
          <w:color w:val="2a2520"/>
          <w:sz w:val="22"/>
          <w:szCs w:val="22"/>
        </w:rPr>
        <w:t xml:space="preserve">All three Inspectorates certify the draw under §9.3.d, oversee the Commission's working sessions to verify that the Commission has the access to records, systems, and personnel required by its statutory mandate, and review the Commission's findings before publication to confirm the findings reflect the Commission's genuine conclusions and have not been suppressed or modified. All three Inspectorate seals appear on findings published to the NRS. The RSA Director receives a copy of published findings simultaneously with NRS publication.</w:t>
      </w:r>
    </w:p>
    <w:p>
      <w:pPr>
        <w:spacing w:after="60" w:before="200"/>
        <w:ind w:left="863"/>
      </w:pPr>
      <w:r>
        <w:rPr>
          <w:rFonts w:ascii="Courier New" w:cs="Courier New" w:eastAsia="Courier New" w:hAnsi="Courier New"/>
          <w:b/>
          <w:bCs/>
          <w:color w:val="1B2A4A"/>
          <w:sz w:val="18"/>
          <w:szCs w:val="18"/>
        </w:rPr>
        <w:t xml:space="preserve">§9.3.g  </w:t>
      </w:r>
      <w:r>
        <w:rPr>
          <w:rFonts w:ascii="Garamond" w:cs="Garamond" w:eastAsia="Garamond" w:hAnsi="Garamond"/>
          <w:b/>
          <w:bCs/>
          <w:color w:val="1B2A4A"/>
          <w:sz w:val="22"/>
          <w:szCs w:val="22"/>
        </w:rPr>
        <w:t xml:space="preserve">Commission Findings</w:t>
      </w:r>
    </w:p>
    <w:p>
      <w:pPr>
        <w:spacing w:after="120" w:before="0"/>
        <w:ind w:left="863"/>
        <w:jc w:val="both"/>
      </w:pPr>
      <w:r>
        <w:rPr>
          <w:rFonts w:ascii="Garamond" w:cs="Garamond" w:eastAsia="Garamond" w:hAnsi="Garamond"/>
          <w:color w:val="2a2520"/>
          <w:sz w:val="22"/>
          <w:szCs w:val="22"/>
        </w:rPr>
        <w:t xml:space="preserve">Commission findings are published directly and jointly to the NRS by all three Inspectorates upon completion of the decennial review. Findings may include assessments of cryptographic integrity, node distribution adequacy, technical standard compliance, and any architectural features that approach or breach constitutional requirements. The Legislature, the RSA Director, and both executives receive findings simultaneously with NRS publication. The Commission's mandate ends upon publication; the Commission dissolves and the pool resets under §9.3.c.</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NRS and Electoral Integrity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NRS Staffing and Independence</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NRS Downtime Protocol</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Citizen NRS Submissions</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NRS Funding Floor</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 — it is a constitutional offense.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Anti-Evasion Principle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Severe Contraction Protocol — Activation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Severe Contraction Protocol — Effects</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Contraction Protocol — Parliamentary Review</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Federal Supplementation Obligation</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Tax Origination and Fiscal Objection</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Annual Budget and Continuation Spending</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BNF and Contraction Exemptions</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Tested under maximum pressure in The Stagflation Years: the SC ruled 6-3 that the Mandate Rebalancing Act was void for attempting to convert the secondary mandate into a co-equal constraint on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Official Benefits</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Financial Disclosure</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Integrity Bans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Anti-Ego Provision</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Official Gifts</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Oath of Office Requirement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Defense Readiness and Veterans Obligations</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Compensation of Public Officials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Subsidiarity Principle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Five-Year Maximum</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Senate Armed Services Committee</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Military Authority During Presidential Succession Vacuum</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Voluntary Incorporation</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No Executive Veto</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Advisory Referenda</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Independence Transition Framework</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Framework Agreement Requirement</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Transition Period — 24 to 60 Months</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Basic Needs Floor Transition</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Executive Authority During Transition</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Simultaneous Independence Sequencing</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Federal-State Statutory Hierarchy</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 No member of the EC may have held elected office or party membership within ten years of their election.</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For-cause only — no no-cause removal. EC administers all elections; no-cause removal would be a vector for electoral manipulation. Process: JI documents finding → State Designee Panel substantiates → 14-day SC appeal window expires (or SC upholds on appeal) → member suspended from all EC duties. The 180-day election proximity restriction in §16.5.c applies to the removal vote, not to Panel-triggered suspension. On legislative acquittal, member returns to full duties immediately. 2/3 both chambers for removal. Vacancy: 90-day special election, full new 6-year term. Amended v148.</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the Electoral Commission may extend ballot information delivery to cover State and local races. The State bears the cost. The Commission may not refuse except on operational capacity grounds.</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 Amended v148.</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PM determines and publishes to the NRS, within 14 days of the bid period closing, the eligibility status of each bid with stated grounds. A State or Territory whose bid is found ineligible may petition the Supreme Court within 30 days of that publication on the sole ground that the bid met the published Requirements Specification; the Court reviews only whether the specification was correctly applied.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If no agreement on the disposition of federal improvements is reached before the transition window closes, §17.3.b automatic reversion applies without further action — improvements revert to the departing host with the land. Upon completion of the transition window,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that meet the Requirements Specification published under §17.2.a and presents options to the House within 90 days of the close of the bid period. If the Senate fails to present candidates within 90 days, either executive may petition the Supreme Court, which shall on such petition identify candidates within 30 days applying the same constitutional criteria.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NTA is a statutory independent officer under §3.7 — the legislature creates the office by statute and calibrates its independence, term, and removal grounds through the enabling statute. The constitutional protections that matter for the Trust are in §17.4.a–f: the trust nature, the 65% referendum threshold for reclassification, the stewardship obligation, the EI's annual compliance monitoring. The Administrator is an operational role whose independence is appropriately protected by §3.7 rather than requiring the full constitutional appointment machinery. The enabling statute may not reduce the stewardship obligations or the EI monitoring.</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use rights in Territories follow the same framework as in States — Operational Use Rights (§17.3) and National Trust (§17.4) — without requiring host State legislative consent (Territories have no State legislature). The Territory's representative body and the LI are consulted. Same constitutional principles; consent mechanism adapts to the Territory's structure.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Qualification Threshold</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Administration</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Three subsections after v145 restructuring: activation threshold (§19.1.a), institutional accommodation for existing legal structures (§19.1.b), and multi-founder formation for sovereign nations pooling sovereignty (§19.1.c). Previously a single wall-of-text paragraph — restructuring makes §19.1 readable without changing any substantive content.</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24-month, four-phase process. Seven provisions: Phase 0 pre-ratification preparation (§19.3.a), Phase 1 emergency stabilisation Days 1-90 (§19.3.b), Phase 2 institutional construction Days 91-270 (§19.3.c), Phase 3 first elections Days 271-450 (§19.3.d), Phase 4 full operation (§19.3.e), provisional NRS authority (§19.3.f), and phase extension mechanism (§19.3.g, new v143).</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baa660f7a978b481e7621fd8e954716d925f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2026-05-18T01:43:13.585Z</dcterms:created>
  <dcterms:modified xsi:type="dcterms:W3CDTF">2026-05-18T01:43:13.600Z</dcterms:modified>
</cp:coreProperties>
</file>

<file path=docProps/custom.xml><?xml version="1.0" encoding="utf-8"?>
<Properties xmlns="http://schemas.openxmlformats.org/officeDocument/2006/custom-properties" xmlns:vt="http://schemas.openxmlformats.org/officeDocument/2006/docPropsVTypes"/>
</file>