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State’s obligations attach from the moment of live birth.</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spacing w:after="60" w:before="60" w:line="280" w:lineRule="auto"/>
        <w:jc w:val="both"/>
      </w:pPr>
      <w:r>
        <w:rPr>
          <w:rFonts w:ascii="Times New Roman" w:cs="Times New Roman" w:eastAsia="Times New Roman" w:hAnsi="Times New Roman"/>
          <w:b/>
          <w:bCs/>
          <w:color w:val="1B2A4A"/>
          <w:sz w:val="22"/>
          <w:szCs w:val="22"/>
        </w:rPr>
        <w:t xml:space="preserve">1.28 Medical Autonomy: </w:t>
      </w:r>
      <w:r>
        <w:rPr>
          <w:rFonts w:ascii="Times New Roman" w:cs="Times New Roman" w:eastAsia="Times New Roman" w:hAnsi="Times New Roman"/>
          <w:color w:val="000000"/>
          <w:sz w:val="22"/>
          <w:szCs w:val="22"/>
        </w:rPr>
        <w:t xml:space="preserve">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