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House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 xml:space="preserve">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 xml:space="preserve">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 xml:space="preserve">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parliamentary act purporting to alter electoral schedules during a declared emergency is void and of no constitutional effect.</w:t>
      </w:r>
    </w:p>
    <w:p>
      <w:pPr>
        <w:pStyle w:val="Heading2"/>
      </w:pPr>
      <w:r>
        <w:t xml:space="preserve">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 xml:space="preserve">Section 1.27 — Non-Refoulement</w:t>
      </w:r>
    </w:p>
    <w:p>
      <w:r>
        <w:rPr>
          <w:rFonts w:ascii="Arial" w:hAnsi="Arial"/>
          <w:b/>
          <w:sz w:val="22"/>
        </w:rPr>
        <w:t xml:space="preserve">1.27 Non-Refoulement: </w:t>
      </w:r>
      <w:r>
        <w:rPr>
          <w:rFonts w:ascii="Arial" w:hAnsi="Arial"/>
          <w:sz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parliamentary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applies throughout this Article.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 xml:space="preserve">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parliamentary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 xml:space="preserve">The President may be removed through two political tracks independent of the §2.7 Rule Violation accountability process. These tracks address situations where the President has not committed a technical constitutional violation but has lost the democratic confidence of the parliament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the presidential succession role under §2.6.a from the date the Senate votes to refer until the referendum result is certified. If the referendum fails, the President resumes full authority immediately upon certification.</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t xml:space="preserve">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the Legislature defines by statute within a Legislature-defined period; the Supreme Court commissions all confirmed judges. If the House fails to vote on any nomination within the Legislature-defined confirmation period, the nominee is Deemed Confirmed and the Supreme Court commissions them immediately.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pStyle w:val="Heading2"/>
        <w:spacing w:after="80" w:before="200"/>
      </w:pPr>
      <w:r>
        <w:t xml:space="preserve">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 xml:space="preserve">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be staggered: at least two justices from the prior two-year rotation must be retained in the following rotation cycle. Full simultaneous replacement of all four panel members is prohibited. Staggering preserves institutional continuity of the Panel's understanding of active cohabitation dispute patterns. Staggered rotation requires that the two retained justices have served at least 18 months of prior Panel service. Panel membership rotates with a maximum of two new members per cycle regardless of retirement or term expiration of incumbent members, ensuring institutional knowledge is preserved across the full cohabitation dispute landscape.</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 xml:space="preserve">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w:t>
      </w:r>
    </w:p>
    <w:p>
      <w:pPr>
        <w:spacing w:after="60" w:before="60"/>
      </w:pPr>
      <w:r>
        <w:rPr>
          <w:rFonts w:ascii="Arial" w:cs="Arial" w:eastAsia="Arial" w:hAnsi="Arial"/>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legislative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 xml:space="preserve">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6.3 — Application Appeals</w:t>
      </w:r>
    </w:p>
    <w:p>
      <w:pPr>
        <w:spacing w:after="60" w:before="60"/>
      </w:pPr>
      <w:r>
        <w:rPr>
          <w:rFonts w:ascii="Arial" w:cs="Arial" w:eastAsia="Arial" w:hAnsi="Arial"/>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 xml:space="preserve">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 xml:space="preserve">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the Legislature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A joint Inspectorate Oversight Committee of the Legislature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 xml:space="preserve">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PM may remove an acting board member within 90 days of assumption; after 90 days removal requires a simple Senate majority; after 180 days removal requires the full 2/3 both chambers plus EI dereliction finding standard. Confirmation by the Senate at any time converts acting status to permanent appointment and the full term begins from the date of confirmation. Removal of a confirmed board member requires a 2/3 vote of both chambers simultaneously and a documented finding of dereliction by the Executive Inspectorate.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§2.6.a or by expedited §2.8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 xml:space="preserve">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 xml:space="preserve">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 xml:space="preserve">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 xml:space="preserve">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National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60" w:before="60"/>
      </w:pPr>
      <w:r>
        <w:t xml:space="preserve">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 xml:space="preserve">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19.3.c Phase 2 — Institutional Construction (Days 91–270): 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the Legislature is sworn in and the first President and Prime Minister take office.</w:t>
      </w:r>
    </w:p>
    <w:p>
      <w:pPr>
        <w:spacing w:after="60" w:before="60"/>
      </w:pPr>
      <w:r>
        <w:t>19.3.e Phase 4 — Full Constitutional Operation: The Republic enters full constitutional operation from the date the first the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First National Election Day: all 9 Supreme Court seats, all Senate seats, all House seats, all Electoral Commission seats, the Presidency, and the Monetary Authority Director elected simultaneously. House seats PM within 45 days. President and MA Director take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pStyle w:val="Heading2"/>
      </w:pPr>
      <w:r>
        <w:rPr>
          <w:b/>
        </w:rPr>
        <w:t>Section 19.9 — Transitional Accountability Mechanism</w:t>
      </w:r>
    </w:p>
    <w:p>
      <w:pPr>
        <w:spacing w:after="60" w:before="60"/>
        <w:ind w:left="720" w:hanging="360"/>
      </w:pPr>
      <w:r>
        <w:rPr>
          <w:rFonts w:ascii="Arial" w:cs="Arial" w:eastAsia="Arial" w:hAnsi="Arial"/>
          <w:b/>
          <w:bCs/>
          <w:color w:val="4A6FA5"/>
          <w:sz w:val="22"/>
          <w:szCs w:val="22"/>
        </w:rPr>
      </w:r>
      <w:r>
        <w:rPr>
          <w:rFonts w:ascii="Arial" w:cs="Arial" w:eastAsia="Arial" w:hAnsi="Arial"/>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 xml:space="preserve">ARTICLE XX — ASSOCIATED COMMUNITY RELATIONSHIPS</w:t>
      </w:r>
    </w:p>
    <w:p>
      <w:pPr>
        <w:spacing w:after="60" w:before="60"/>
      </w:pPr>
      <w:r>
        <w:rPr>
          <w:rFonts w:ascii="Arial" w:cs="Arial" w:eastAsia="Arial" w:hAnsi="Arial"/>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 xml:space="preserve">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 xml:space="preserve">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 xml:space="preserve">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 xml:space="preserve">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 xml:space="preserve">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veto; §1.2, §1.3, §1.13, §1.17, §1.18, §1.27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