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2.1.i Presidential Officer Appointments and Removal:</w:t>
      </w:r>
      <w:r>
        <w:rPr>
          <w:rFonts w:ascii="Times New Roman" w:cs="Times New Roman" w:eastAsia="Times New Roman" w:hAnsi="Times New Roman"/>
          <w:b w:val="0"/>
          <w:color w:val="000000"/>
          <w:sz w:val="22"/>
          <w:szCs w:val="22"/>
        </w:rPr>
        <w:t xml:space="preserve">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3.1.f House Term Limits: 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§2.3 operate independently of this term limit. A member who reaches the 6-term limit and whose cooling-off period coincides with a caretaker period serves the term-limit cooling-off from the later start date.</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w:t>
      </w:r>
      <w:r>
        <w:rPr>
          <w:rFonts w:ascii="Times New Roman" w:cs="Times New Roman" w:eastAsia="Times New Roman" w:hAnsi="Times New Roman"/>
          <w:b w:val="0"/>
          <w:color w:val="000000"/>
          <w:sz w:val="22"/>
          <w:szCs w:val="22"/>
        </w:rPr>
        <w:t xml:space="preserve">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w:t>
      </w:r>
      <w:r>
        <w:rPr>
          <w:rFonts w:ascii="Times New Roman" w:cs="Times New Roman" w:eastAsia="Times New Roman" w:hAnsi="Times New Roman"/>
          <w:b w:val="0"/>
          <w:color w:val="000000"/>
          <w:sz w:val="22"/>
          <w:szCs w:val="22"/>
        </w:rPr>
        <w:t xml:space="preserve">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8.4.d Inspectorate Staff Continuity and Simultaneous Vacancy: 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15.1.c Citizen-Led Path:</w:t>
      </w:r>
      <w:r>
        <w:rPr>
          <w:rFonts w:ascii="Times New Roman" w:cs="Times New Roman" w:eastAsia="Times New Roman" w:hAnsi="Times New Roman"/>
          <w:b w:val="0"/>
          <w:color w:val="000000"/>
          <w:sz w:val="22"/>
          <w:szCs w:val="22"/>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 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16.2.a Electoral Commission Removal:</w:t>
      </w:r>
      <w:r>
        <w:rPr>
          <w:rFonts w:ascii="Times New Roman" w:cs="Times New Roman" w:eastAsia="Times New Roman" w:hAnsi="Times New Roman"/>
          <w:b w:val="0"/>
          <w:color w:val="000000"/>
          <w:sz w:val="22"/>
          <w:szCs w:val="22"/>
        </w:rPr>
        <w:t xml:space="preserve"> 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§8.9.a, the member is suspended from all Electoral Commission duties: upon expiry of the 14-day Supreme Court appeal window under §8.9.b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16.5.c Removal:</w:t>
      </w:r>
      <w:r>
        <w:rPr>
          <w:rFonts w:ascii="Times New Roman" w:cs="Times New Roman" w:eastAsia="Times New Roman" w:hAnsi="Times New Roman"/>
          <w:b w:val="0"/>
          <w:color w:val="000000"/>
          <w:sz w:val="22"/>
          <w:szCs w:val="22"/>
        </w:rPr>
        <w:t xml:space="preserve"> Electoral Commission members may only be removed by Track 1 For-Cause removal (§8.5), requiring a 2/3 vote of both chambers simultaneously, preceded by State Designee Panel verification under §8.9.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§16.2.a operates independently of election proximity.</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