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has a minimum of one seat per State and a floor of one seat per 750,000 citizens, with final allocation determined by the LI formula following each census. The LI publishes the updated seat allocation to the NRS within 30 days of census completion. Where a reapportionment event reduces a State's seats, the reduction takes effect at the next general election — no sitting member's term is cut short by reapportionment.</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formula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2026-05-19T16:58:01.006Z</dcterms:created>
  <dcterms:modified xsi:type="dcterms:W3CDTF">2026-05-19T16:58:01.022Z</dcterms:modified>
</cp:coreProperties>
</file>

<file path=docProps/custom.xml><?xml version="1.0" encoding="utf-8"?>
<Properties xmlns="http://schemas.openxmlformats.org/officeDocument/2006/custom-properties" xmlns:vt="http://schemas.openxmlformats.org/officeDocument/2006/docPropsVTypes"/>
</file>