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§1.26.b.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§10.1.</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(§1.12); the right to a public trial (§1.16);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§6.4.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§1.26.b.</w:t>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certified by the LI.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EI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President, a person must have been a citizen for at least 7 years at the time of taking office and must hold no federal felony conviction. No other eligibility requirement applies. The President holds enumerated authority over: military command and force employment; foreign affairs and treaty negotiation; intelligence; trade agreements subject to §2.4; and appointments within the presidential domain. Presidential authority is enumerated; the PM's authority is residual. Where the domain of a proposed action is disputed, the JEC under §2.14 is the first forum; pending resolution, the PM's residual authority governs except for matters expressly enumerated in this provision. During active military operations, the President's domain governs operational decisions; either executive may petition the SC for an expedited domain determination. The President serves a single non-renewable term of four years. Upon expiration of the term, all authority transfers immediately to the incoming President. The outgoing President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use military force in immediate response to an active or imminent attack on Republic territory, citizens abroad, or treaty allies. Beyond immediate response, all use of military force requires legislative authorization. The President must notify both chambers and the PM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PM certification throughout; expenditure without PM certification is void. All military operations must state and be consistent with an authorized purpose under §12.1.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Presidential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directs foreign intelligence. No intelligence operation may be conducted against Republic citizens within Republic territory on the President's authority; such operations require independent judicial authorization. The EI reports any order authorizing domestic intelligence operations without judicial authorization to the NRS. The President may veto legislation that raises a genuine constitutional concern within the President's security domain — military operations, intelligence, treaty obligations, or border security. A general or speculative security connection is insufficient. Either Speaker may request an EI assessment of whether the veto falls within the President's defined domain; the EI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Presidential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only for provisions imposing national treatment obligations within Republic territory, provisions requiring new domestic legislation, or provisions creating direct obligations on domestic persons. All other trade terms are within the President's sole authority. Where PM concurrence is withheld on a specific provision, that provision may be transmitted to the House as ordinary legislation while the remaining agreement proceeds to Senate ratification independently. The President nominates senior domain officers — Director of Intelligence, Secretary for Foreign Affairs, Secretary for Defense — from a pool of qualified candidates maintained and certified by the JI.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hold the office of Prime Minister, a person must have been a citizen for at least 7 years at the time of taking office and must hold no federal felony conviction. No other eligibility requirement applies. The PM answers to the House through the confidence mechanism and does not require presidential confirmation for the exercise of the domestic domain. The PM's domestic authority includes: all domestic policy and regulatory frameworks; the annual budget, which must originate with the PM and pass the House; certification of military expenditure; the civil service; and administration of the social state under Article X. The PM may declare a domestic emergency in response to natural disaster, public health crisis, or infrastructure failure, subject to the constraints of Article I and renewable House approval at intervals defined by statute. The President has no role in domestic emergencies. The PM has the right to be informed on national security matters that bear on domestic interests; no classification may be used to withhold such information from the PM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PM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is accountable to the House. The House may remove the PM only through a constructive vote of no confidence: a single vote that simultaneously removes the sitting PM and installs a named replacement, by absolute majority of full seated House membership. A confidence vote that does not name and elect a successor has no constitutional effect. No person may serve more than 8 consecutive years as PM, and no more than 12 years in total across all periods of service. Both limits operate simultaneously; the stricter governs at any given moment. The House elects the PM by absolute majority within the period defined by statute following any general election or vacancy. If the House does not elect a PM within that period, the most senior confirmed Cabinet Minister continues as Caretaker PM. If no PM has been elected by absolute majority within 120 days of any general election or vacancy, the Elections Panel automatically administers a new House general election; the Caretaker mechanism continues until the newly elected House elects a PM. The Senate may, by 2/3 supermajority, designate a serving House member as PM if the House has failed to elect one within the statutory period; House election of a PM by absolute majority terminates any Senate designation. Where the PM is temporarily unable to exercise authority, the most senior confirmed Cabinet Minister by continuous length of service — as certified by the JI — serves as Caretaker PM with authority limited to maintaining existing policy and emergency functions; Caretaker status ends when the PM resumes their duties or a new PM is confirmed by the House.</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PM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with a written statement of objection specifying constitutional, fiscal, or operational grounds. The statement is published to the NRS. The Legislature may override by 2/3 of both chambers simultaneously. The suspensive veto may not be used on the annual budget, bills implementing a constitutional obligation, or emergency legislation. If the Legislature does not hold an override vote within the period defined by statute, the bill lapses. The PM may also object on specific solvency grounds — the bill would cause or materially worsen a structural deficit. Requires MA assessment; the House may override by simple majority after receiving the assessment. If the PM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violation of any constitutional provision or statute. Refusal of such an order creates no civil or criminal liability and is no basis for dismissal or penalty. The refusing person may report the order to the EI,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Presidential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The Senate Speaker holds the office of President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member of the Senate Armed Services Committee by continuous Senate service holds the office from that moment. Upon NRS publication of any triggering event, the military chain of command recognizes the constitutional transfer immediately; any order issued in the name of the prior President after that moment is constitutionally void. A successor serves the remainder of the current presidential term; service by succession does not consume the successor's own eligibility to stand at the next election. Where the President is temporarily unable to exercise authority, the EI and LI jointly assess capacity and, on joint certification, Acting Presidential Authority transfers to the Senate Speaker without vacating the Speaker's Senate seat by constitutional operation from the moment of joint certification published to the NRS. Acting authority ends when the President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certified by the EI.</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House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EI and LI jointly certify that incapacity and publish it to the NRS; from that moment the Senate administers federal elections under this provision until the Elections Panel is restored and the restoration is published to the NRS. All Senate emergency actions require co-signature of the Caretaker PM and are published to the NRS. This authority expires automatically when a new House is seated. In catastrophic circumstances where the Legislature cannot convene, expedited activation of the Senate’s emergency legislative authority under this section is available on joint certification by the Caretaker PM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Presidential clemency covers military law and national security offenses. PM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EI publishes a factual background report to the NRS. A clemency grant made before the EI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Presidential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Under the legislative track, 2/3 of both chambers simultaneously, following joint LI and EI certification of constitutional breach, demonstrated permanent incapacity, or conviction for a disqualifying offense. Under the popular track, a Senate majority may refer the question to a national recall referendum administered within the period defined by statute. The President is removed if the referendum achieves 60% of votes cast under §11.4 with a minimum 55% citizen participation. A failed referendum may not be re-initiated within the same presidential term. The Senate Speaker holds Acting Presidential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and the PM's Cabinet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JEC;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House Speaker and Senate Speaker jointly, and the JEC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JEC joint resolution published within the 14-day window closes the process; the Legislature takes no further action. Where neither the JEC nor the Legislature acts within 30 days of the declaration, the PM’s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JIC certifies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Inspectorate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House of Representatives and the Senate. All legislation originates in the House. The Senate reviews, may amend within the subject matter of the bill, and must act on every House-passed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is the proportionally elected chamber. Both States and Territories send voting members; there are no second-class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LI audits the census and allocation process. The House Speaker is elected by the House from its own members by absolute majority and does not hold a place in the presidential succession line. Quorum is a majority of full seated membership. The House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EI and published to the NRS. Mid-term vacancies in House seats are filled by special election administered by the Elections Panel; the Legislature establishes timing and procedures by statute, ensuring no seat remains vacant beyond a reasonable period. The House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LI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 court finding that a bill addresses multiple unrelated subjects voids the act.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PM or by petition of 1/3 of either chamber. Members must disclose all financial interests to the EI. The Legislature must establish a joint ethics committee with authority to sanction and refer members; removal requires 2/3 of the relevant chamber following and on the basis of a published EI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electoral cycles as Speaker without sitting out one electoral cycle.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presidential election. The Senate may not initiate legislation; all bills originate in the House.</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House as ordinary legislation unless the treaty is bilateral and its obligations are interdependent, in which case it must be renegotiated or abandoned in full. The President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XIV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Inspectorate findings, and veto records are indexed alongside the enacted text. Where the constitution requires the Legislature to enact specific legislation and the Legislature fails to do so, the LI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withhold records from the Inspectorates. The LI publishes a constitutional compliance analysis of any enacted law during the legislative review period; members may request LI analysis of any bill at any stage; the LI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EI has certified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until it does, the relevant Inspectorate certifies the constitutional breach annually and reports on compliance, but does not substitute for the agency. The Legislature defines qualification standards for each agency’s officer pool by statute. The JI certifies candidates meeting those standards and maintains the pool as a public NRS record. The PM nominates the agency director from the certified pool only; a nomination outside the certified pool is constitutionally void. The Senate confirms by 2/3 supermajority. Agency officers serve fixed terms defined by statute and are removable for cause only; no executive may unilaterally remove an independent agency officer. Cause must relate to conduct, competence, or a disqualifying offense under §1.32;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impeach officers serving in the presidential executive domain and inferior court judges. The President is removed exclusively under §2.13; the PM under §2.6; SC justices under §4.3.b; legislative members by their own chamber. A 1/3 House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House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from a pool of qualified candidates maintained and certified by the JI. The Legislature defines qualifications for inferior court judges by statute; the JI certifies eligibility of each pool applicant against those qualifications. The PM must nominate within the period defined by statute following a vacancy, not to exceed 90 days where no statutory period has been defined. The Senate confirms by a 2/3 supermajority.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EI certification of constitutional breach or demonstrated incapacity;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EI finding of constitutional breach in the exercise of judicial authority; certified permanent incapacity jointly certified by the EI and LI;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PM from the open SC Candidate Registry maintained and certified by the JI under §8.4.e — any eligible citizen who applies and meets the qualification criteria is entered. The PM nominates within the period defined by statute following a vacancy (not to exceed 90 days for anticipated vacancies, 60 days for unanticipated vacancies). The JI confirms registry status and publishes the nominee's full record. The Senate must vote within the period defined by statute following JI publication of the nominee's record (not to exceed 120 days); no deemed confirmation applies, but failure to vote within that period is certified by the LI as a constitutional compliance breach. If the Senate declines, the PM nominates again within the period defined by statute. Where the PM fails to nominate within 30 days of an LI certification of constitutional breach under this section, the Senate may select a nominee directly from the SC Candidate Registry by 2/3 vote of full seated membership; a Senate selection under this provision requires no further PM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Senate breach under §4.4, the PM may — with 2/3 House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Inspectorate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§15.6.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Children of citizens are Inhabitants from birth with full Article I protections; full citizenship rights activate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self-sufficiency or support guarantee — no ideological screening or nationality-based quotas. Any denial must specify the precise ground in writing. Once an applicant clears both gates, the President must ministerially issue residency credentials; Presidential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§6.4 are exempt from Gate 1 — no State's refusal to sponsor can extinguish a §1.28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Gate 1 challenges brought on §1.6 grounds are published to the NRS; personally identifying information of applicants who are not public figures is protected consistent with §1.7. Where Gate 2 is denied on national security grounds, a reviewing court may examine the classified assessment in camera to determine whether it constitutes a credible, specific, and documented security concern.</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§1.28 is an Inhabitant from the date of filing — entitled to Article I protections and social state access. Claims must be determined before any removal order takes effect.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§1.28. Indefinite stateless detention is constitutionally prohibited. Where the Asylum Court grants §1.28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state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The Elections Panel administers and certifies all presidential elections. Territory citizens vote in presidential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No transfer of presidential authority may be delayed beyond the constitutional transition provisions.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House elections every two years; Senate elections on the staggered six-year cycle; presidential elections every four years. All federal elections use Ranked Choice Voting — majority required, not plurality — except the presidential election which follows §7.2.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President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Inspectorates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(LI), Executive (EI), and Judicial (JI) — each selected by bodies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and constitutional compliance. Responsibilities include auditing the population census for constitutional compliance; reviewing House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The JI certifies eligibility for the SC Candidate Registry under §8.4.e and confirms registry status for SC nominees, and conducts annual audits of the Elections Panel for electoral integrity compliance. The JI reviews accommodation compact compliance, Associated Community compact compliance under Article XX, and Article XIV indigenous compact obligations. The JI's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§8.1.d  </w:t>
      </w:r>
      <w:r>
        <w:rPr>
          <w:rFonts w:ascii="Garamond" w:cs="Garamond" w:eastAsia="Garamond" w:hAnsi="Garamond"/>
          <w:b/>
          <w:bCs/>
          <w:color w:val="1B2A4A"/>
          <w:sz w:val="22"/>
          <w:szCs w:val="22"/>
        </w:rPr>
        <w:t xml:space="preserve">IG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An IG’s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Inspectorate’s candidate pool by continuous pool tenure who accepts designation serves as Acting Inspector General until a successor is confirmed under §8.3. The Acting IG holds full constitutional authority of the office. The Acting IG is not eligible for permanent appointment to the position in which they serve; upon conclusion of acting service they return to the candidate pool. The JIC certifies the designation and both executives are notified immediately; notice does not condition the designation’s effectiveness. Pool membership satisfies the eligibility requirement of §1.31. Where an IG is certified incapacitated by the other two Inspectorates jointly, the incapacitated IG’s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its watchers. The SC nominates the LI Inspector General, confirmed by Senate 2/3 supermajority — the Legislature is entirely excluded. The House Speaker and Senate Speaker jointly nominate the EI Inspector General, confirmed by Senate 2/3 supermajority with JI vetting — the executives are excluded, neither Speaker can act alone, and the 2/3 confirmation threshold requires broad Senate consensus for confirmation. The JI Inspector General is selected by public lottery from a pool of former judges certified by the LI and EI — the JI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IG is nominated by the SC from a pool of qualified candidates maintained by the Elections Panel, sufficiently in advance under the timeline defined by statute to ensure confirmation is complete before the transition under §1.31; confirmed by national popular vote at the next federal electoral period following nomination, by simple majority of votes cast. The confirmed successor assumes full IG authority at the precise moment the incumbent’s term concludes under §1.31. If the confirmation vote fails, the §8.1.d acting mechanism activates and the SC initiates a new nomination from the pool within 60 days. The EI IG is nominated jointly by the House Speaker and Senate Speaker from a pool of qualified candidates maintained by the Elections Panel, sufficiently in advance under the timeline defined by statute under §1.31; confirmed by national popular vote at the next federal electoral period following nomination, by simple majority of votes cast, with JI vetting of the nominee’s disclosure record published before the vote. The same timing and failed-vote provisions apply. The JI IG is selected by public lottery under §8.13 from the JI Candidate Pool under §8.4.a maintained by the Elections Panel, conducted at the statutory timeline under §1.31, sufficiently in advance to ensure seamless succession; no separate confirmation required — the lottery result is the selection and the selected person assumes office at the precise moment the incumbent’s term concludes. All IGs serve 10-year non-renewable terms. No two IG terms may begin within 18 months of each other, ensuring continuous institutional knowledge across offices. The Elections Panel administers all IG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JI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JI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JI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JI holds no role in constituting or certifying its own candidate pool. The LI certifies each applicant's judicial service record for accuracy; the EI reviews financial disclosure; both certifications are published to the NRS as the pool entry record. The Elections Panel enters an applicant into the pool upon LI and EI certification; it may not exclude a certified applicant. The Joint Inspectorate Council conducts the lottery from the pool in a public session; the outgoing JI IG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JI certifies the eligibility of each applicant against the stated criteria and publishes its certification to the NRS as part of the registry entry. The EI reviews each applicant's financial disclosure for factual accuracy and publishes findings to the NRS alongside the JI certification. The Elections Panel includes an applicant in the registry upon JI certification; it may not exclude a JI-certified applicant.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IG follows §8.15 Standard Track. The Judicial Track under §8.15 is additionally available where two of the three Inspectorates jointly certify for-cause grounds.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Inspectorates publish findings; they do not issue binding orders or legal determinations. Every finding, report, and discrepancy notice must be published to the NRS permanently and free of charge; no official may suppress, delay, classify, or alter an Inspectorate report before publication. Inspectorate reports are permanently exempt from classification. Where any Inspectorate publishes a Critical Failure finding, the Legislature must publish a remediation plan with actions and timelines within the period defined by statute; failure to publish a remediation plan is a constitutional compliance breach certified by the LI. Any staff member may publish a minority report directly to the NRS if they believe a finding has been improperly omitted or suppressed — staff cannot be disciplined for doing so. All three Inspectorates jointly publish an annual State of the Republic report on a fixed date regardless of whether any political actor requests it. Where a compliance question spans multiple Inspectorate mandates, the Inspectorates may conduct a joint investigation; neither IG may veto the other's contribution. All three Inspectorates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covers: whether military operations in the prior year were authorized through the correct tier; whether the §2.3 intelligence warrant requirement was maintained throughout all operations; whether PM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§8.15, the charging party — a concurrent resolution of 1/3 of either chamber, or two of the three Inspectorates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inflation-adjusted equivalent of the prior fiscal year's funding level without a 2/3 vote of both chambers simultaneously. The Monetary Authority certifies each Inspectorate's prior-year funding level adjusted for inflation and publishes the certified floor to the NRS before the Legislature begins its annual budget process. Where a budget reduces any Inspectorate below its certified inflation-adjusted floor without the required supermajority, the prior-year funding level takes effect automatically for that Inspectorate by constitutional operation.</w:t>
      </w:r>
    </w:p>
    <w:p>
      <w:pPr>
        <w:spacing w:after="60" w:before="200"/>
        <w:ind w:left="431"/>
        <w:jc w:val="left"/>
      </w:pPr>
      <w:r>
        <w:rPr>
          <w:rFonts w:ascii="Courier New" w:cs="Courier New" w:eastAsia="Courier New" w:hAnsi="Courier New"/>
          <w:b/>
          <w:bCs/>
          <w:color w:val="1B2A4A"/>
          <w:sz w:val="18"/>
          <w:szCs w:val="18"/>
        </w:rPr>
        <w:t xml:space="preserve">§8.12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Inspectors General jointly constitute the JIC as the standing coordination body for matters crossing Inspectorate jurisdictions. The JIC formally houses all jointly certified constitutional functions — including lottery draws and selection processes throughout the constitution. The chair of any joint session is the IG whose domain covers the primary subject matter; where all domains are equally engaged, the chair rotates annually. Where the IGs cannot reach consensus on a joint matter, each publishes their individual assessment and the disagreement is noted in the permanent NRS record. The JIC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JIC has no authority to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§8.12.a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Inspectorates jointly certify that the third is operating in demonstrable bad faith, they petition the SC directly for confirmation of the finding; the SC rules within 14 days. Upon filing the petition, the two petitioning Inspectorates jointly designate an Acting Inspector General as the longest-tenured member of the affected Inspectorate’s candidate pool who accepts the designation; both executives are notified immediately. The Acting IG assumes all constitutional functions of the compromised Inspectorate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§8.3 — whichever occurs first. The Acting IG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§8.13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Inspectorate. The appropriate Inspectorate reviews each applicant against the qualification requirements for that registry or pool and publishes a certification to the NRS. Where an office involves significant financial authority, the EI reviews financial disclosure concurrently. Pool records and certifications are public NRS records at all times. The Joint Inspectorate Council conducts the draw in a public session, certifies the result jointly, and publishes it to the NRS. Selection by deliberate nomination: the named officer nominates from certified pool members. Confirmation where required: the Senate must act within the period defined by the establishing provision; failure to confirm within that period is a constitutional compliance breach certified by the LI. The JI monitors all constitutional pools annually and publishes a status report; where a pool falls below its constitutional minimum, the relevant nominating bodies must respond within 30 days.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§8.14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JIC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§8.15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§8.9;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Inspectorates jointly certify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Inspector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Every government act required to be published must appear on the NRS before it takes legal effect.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Inspectorate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JI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EI; the EI certifies whether the justification meets the statutory standard and publishes its finding to the NRS. No material may remain classified beyond 30 years under any circumstances. On expiry, automatic declassification and NRS publication applies within 30 days.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EI audits its operations annually and publishes findings to the NRS. The Legislature may not define MA independence standards in a manner that compromises the credibility of its certification functions; the EI assesses MA independence through its annual operational audit and publishes findings to the NRS.</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public campaign financing system within the period defined by statute following the first Legislature convening; failure to do so is a constitutional compliance breach certified by the LI.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EI within the period defined by statute of taking office and annually thereafter; disclosure records are published to the NRS. Any officer with a direct financial interest in a decision within their authority must recuse themselves; recusal is self-executing. Constitutional officers may not, for a period defined by statute after leaving office — which may not be less than two years — engage in any activity that monetizes or draws on non-public information, relationships, or access accumulated during service; the EI determines whether a post-service engagement falls within this restriction and the officer bears the burden of demonstrating it does not. Officers may not accept gifts above a de minimis threshold; all gifts above the threshold must be disclosed to the EI and deposited with the relevant treasury. All records created in the exercise of official functions are public records and may not be retained, destroyed, or removed by departing officers. The EI investigates alleged violations and publishes findings to the NRS; where findings warrant further action, the EI refers to the appropriate authority.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 during periods of Severe Revenue Contraction, as certified by the independent Monetary Authority established under §10.1. It operates independently of the annual budget process. The Endowment is governed by a board of five trustees selected by public lottery from the National Endowment Trustee Pool. Each executive nominates qualified persons to the pool annually; pool entry and certification follow §8.13; the JIC conducts the trustee lottery under §8.13. Disbursements are activated on Monetary Authority certification of Severe Revenue Contraction and continue until the Monetary Authority certifies the contraction has ended. Trustees serve staggered 6-year non-renewable terms and may be removed only for cause under the framework established in §8.15. The board's sole mandate is to preserve and grow the Endowment for social state backstop purposes; it may not be directed to any other goal. All board decisions and performance reports are published to the NRS; the EI audits the board annually.</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EI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LI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national citizen initiative referendum at the thresholds defined in §15.1. Citizen-initiated legislation that bypasses the Legislature requires the higher democratic mandate of the citizen-led amendment threshold.</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starve local governments to achieve de facto state centralization.</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presidential first-round threshold at which the State plurality requirement is waived (§7.2); public confirmation of a Supreme Court justice under the Senate bypass mechanism (§4.4.a); and public election removal of a constitutional officer under the Judicial Track (§8.15). The Legislature may not set a higher or lower threshold for any direct electoral supermajority determination without a constitutional amendment. This provision does not govern the optional referendum or citizen initiative under §11.1–§11.2,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Three purposes are explicitly prohibited regardless of legislative authorization: nation-building,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PM certification concurrent with legislative authorization. No military operation may be funded without PM certification; the PM may certify, condition, or decline certification on any operation. Expenditure in categories not covered by the certification requires supplementary PM certification. When legislative authorization expires or is not renewed, all military expenditure ceases; ongoing contracts may continue to wind down for the period the Legislature defines by statute; no new commitments may be entered after authorization expires. The EI audits all military expenditure during active operations and publishes findings to the NRS. Within the period the Legislature defines by statute following the conclusion of any military operation, the EI publishes a comprehensive expenditure accountability report. Where the PM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President must publish notice of the certification refusal to the NRS within 24 hours with stated grounds; both chambers must be notified simultaneously; if the Legislature does not act within the maintenance period, all expenditure ceases. A PM who declines certification bears the same constitutional attribution for the consequences of that decision as a President who orders an operation.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for up to 60 days total in two 30-day extensions, each requiring PM notification to the Senate Armed Services Committee and certification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act immediately and must notify both chambers and the PM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PM certification of expenditure applies from the moment of action under §12.2.</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§10.1, and may begin the Statehood pathway under §13.2. Territories hold House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LI audits fiscal integrity; the JI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LI may grant provisional audit status for that cycle on joint Inspectorate certification;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on whether to accept a two-year federal remediation commission or proceed to devolution; either path is published to the NRS. A devolved State returns to Territory status. Sitting senators complete their current elected terms — Senate seats are not vacated — but no new Senate elections may be held until Statehood is restored; existing House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LI-JI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JI's published assessment of whether the entity systematically violates any non-derogable right listed in §1.26.b; and acceptance by the Legislature by 2/3 of both chambers. An accepted petition produces an incorporation agreement specifying a transition period not exceeding 48 months. The Republic may not pressure any entity to initiate this process. An indigenous nation recognized under Article XIV must make a status election under §14.7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PM's designated Compact Officer for domestic and governance matters; the President's designated representative participates for any matter within the presidential domain under §2.1. Council decisions are binding on both parties within the scope of the compact; neither party may unilaterally declare a compact dispute resolved. Constitutional questions are appealed to the SC, which must rule within 90 days of petition.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respond within 7 days.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JEC under §2.14, with the President holding primary authority on border and defense terms under §2.1 and the PM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XIV compact status. Once a Nation has transitioned to Territory or State status, any further changes follow the standard constitutional processes applicable to that status under Articles XIII and XIX — including mandatory devolution under §13.3 if three consecutive Statehood Audits are failed. A Territory or State that formerly held Article XIV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A proposed amendment may be withdrawn at any point before ratification is certified. Citizen Initiative Amendment (Path C): Any proposed constitutional amendment supported by a petition of at least 15% of eligible voters, as verified by the LI,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LI petition verification. Path C amendments are subject to §15.5 consistency analysis by the LI, advisory only.</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immediately upon LI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publishes a consistency analysis of any proposed amendment within 30 days of its official proposal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LI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National Record System and Electoral Operations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The Chair of each panel is its most senior member by continuous service; where two or more members have equal continuous service, the Chair is determined by lot conducted by the JIC.</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States may offer early voting, mail-in ballots, and alternative participation methods provided all methods connect to the NVS and meet its constitutional standards. No State may reduce NVS access, functionality, or availability within its territory.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full panel ratifies them by majority vote.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PM publishes a Requirements Specification to the NRS defining minimum functional, security, physical, and operational requirements; the Legislature establishes specific standards by statute. Any State or Territory may submit a bid; the House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the existing arrangement continues.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EI monitors compliance annually cross-referenced with §1.23.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Candidates who receive impermissible contributions must report them within 10 days and either return them or have them treated as undisclosed.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§16.3;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joint Phase 0/1 certification, consolidated debt assumption, and proportional obligation assumption per treaty terms.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Inspectorate panel formed; Phase 1 — Emergency Stabilization (Days 1–90), during which existing officials serve as caretakers and social state continuity is the priority; Phase 2 — Institutional Construction (Days 91–270), during which Statehood Audits are conducted, Inspectorates formally constituted, and the NVS fully deployed; Phase 3 — First Elections (Days 271–450), encompassing the first the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Inspectorate panel of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President,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House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The panel performs the register-assembly and vetting function that permanent Inspectorates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PM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§19.10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§5.1.c, within 180 days; the Census Bureau under §3.2, within 18 months. Where the Legislature fails to meet a deadline, §3.9 applies: the function is administered on an interim basis by the responsible Inspectorate until the agency is established. The LI publishes a compliance notice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§13.7, to independent nations outside the Republic seeking a defined relationship, or to nations recognized as pre-existing sovereigns under Article XIV. Indigenous nations holding rights under Article XIV may not substitute an Article XX compact for their Article XIV compact relationship without first completing a status election under §14.7.a.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§1.26.b, committed against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§1.26.b,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