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has a minimum of one seat per State and a floor of one seat per 750,000 citizens, with final allocation determined by the LI formula following each census. The LI publishes the updated seat allocation to the NRS within 30 days of census completion. Where a reapportionment event reduces a State's seats, the reduction takes effect at the next general election — no sitting member's term is cut short by reapportionment.</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formula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2026-05-19T14:15:28.557Z</dcterms:created>
  <dcterms:modified xsi:type="dcterms:W3CDTF">2026-05-19T14:15:28.574Z</dcterms:modified>
</cp:coreProperties>
</file>

<file path=docProps/custom.xml><?xml version="1.0" encoding="utf-8"?>
<Properties xmlns="http://schemas.openxmlformats.org/officeDocument/2006/custom-properties" xmlns:vt="http://schemas.openxmlformats.org/officeDocument/2006/docPropsVTypes"/>
</file>