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56304C96" w:rsidR="00AF3D56" w:rsidRDefault="00000000">
      <w:pPr>
        <w:spacing w:before="240"/>
        <w:jc w:val="center"/>
      </w:pPr>
      <w:r>
        <w:rPr>
          <w:rFonts w:ascii="Garamond" w:eastAsia="Garamond" w:hAnsi="Garamond" w:cs="Garamond"/>
          <w:i/>
          <w:iCs/>
          <w:color w:val="7A7060"/>
          <w:sz w:val="22"/>
          <w:szCs w:val="22"/>
        </w:rPr>
        <w:t xml:space="preserve">160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 xml:space="preserve">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 xml:space="preserve">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 xml:space="preserve">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 xml:space="preserve">Torture and cruel, inhuman, or degrading treatment are absolutely prohibited. No person within the Republic's jurisdiction may be subjected to any such treatment. This right is non-derogable under §1.19.b.</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 xml:space="preserve">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 xml:space="preserve">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 xml:space="preserve">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 xml:space="preserve">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 xml:space="preserve">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 xml:space="preserve">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 xml:space="preserve">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 xml:space="preserve">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 xml:space="preserve">Habeas Corpus</w:t>
      </w:r>
    </w:p>
    <w:p w14:paraId="3AB35A20" w14:textId="77777777" w:rsidR="00AF3D56" w:rsidRDefault="00000000">
      <w:pPr>
        <w:spacing w:after="120"/>
        <w:ind w:left="431"/>
        <w:jc w:val="both"/>
      </w:pPr>
      <w:r>
        <w:rPr>
          <w:rFonts w:ascii="Garamond" w:eastAsia="Garamond" w:hAnsi="Garamond" w:cs="Garamond"/>
          <w:color w:val="2A2A2A"/>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 xml:space="preserve">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 xml:space="preserve">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 xml:space="preserve">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 xml:space="preserve">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 xml:space="preserve">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 xml:space="preserve">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 xml:space="preserve">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 xml:space="preserve">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§1.19.e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 xml:space="preserve">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 xml:space="preserve">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 xml:space="preserve">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 xml:space="preserve">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 xml:space="preserve">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 xml:space="preserve">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§9.12. The Legislature defines qualifications and confirmation procedures for each office by statute; acting appointments may be made pending confirmation for the period and under the conditions the Legislature defines.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 xml:space="preserve">The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 xml:space="preserve">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lastRenderedPageBreak/>
        <w:t>published to the NRS; this appointee holds full Civic Consul authority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 xml:space="preserve">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 xml:space="preserve">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 xml:space="preserve">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 xml:space="preserve">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 xml:space="preserve">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 xml:space="preserve">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 xml:space="preserve">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§2.16  </w:t>
      </w:r>
      <w:r>
        <w:rPr>
          <w:rFonts w:ascii="Garamond" w:eastAsia="Garamond" w:hAnsi="Garamond" w:cs="Garamond"/>
          <w:i/>
          <w:iCs/>
          <w:color w:val="1B2A4A"/>
          <w:sz w:val="22"/>
          <w:szCs w:val="22"/>
        </w:rPr>
        <w:t xml:space="preserve">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 xml:space="preserve">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 xml:space="preserve">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 xml:space="preserve">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 xml:space="preserve">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§3.5  </w:t>
      </w:r>
      <w:r>
        <w:rPr>
          <w:rFonts w:ascii="Garamond" w:eastAsia="Garamond" w:hAnsi="Garamond" w:cs="Garamond"/>
          <w:i/>
          <w:iCs/>
          <w:color w:val="1B2A4A"/>
          <w:sz w:val="22"/>
          <w:szCs w:val="22"/>
        </w:rPr>
        <w:t xml:space="preserve">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 xml:space="preserve">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 xml:space="preserve">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 xml:space="preserve">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t xml:space="preserve">§3.8  </w:t>
      </w:r>
      <w:r>
        <w:rPr>
          <w:rFonts w:ascii="Garamond" w:eastAsia="Garamond" w:hAnsi="Garamond" w:cs="Garamond"/>
          <w:i/>
          <w:iCs/>
          <w:color w:val="1B2A4A"/>
          <w:sz w:val="22"/>
          <w:szCs w:val="22"/>
        </w:rPr>
        <w:t xml:space="preserve">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lastRenderedPageBreak/>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 or acts the LM has assessed as constitutional breaches.</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 xml:space="preserve">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Impeachment</w:t>
      </w:r>
    </w:p>
    <w:p w14:paraId="60136CAB" w14:textId="77777777" w:rsidR="00AF3D56" w:rsidRDefault="00000000">
      <w:pPr>
        <w:spacing w:after="120"/>
        <w:ind w:left="431"/>
        <w:jc w:val="both"/>
      </w:pPr>
      <w:r>
        <w:rPr>
          <w:rFonts w:ascii="Garamond" w:eastAsia="Garamond" w:hAnsi="Garamond" w:cs="Garamond"/>
          <w:color w:val="2A2A2A"/>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 xml:space="preserve">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 xml:space="preserve">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 xml:space="preserve">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 xml:space="preserve">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 xml:space="preserve">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 xml:space="preserve">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 xml:space="preserve">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 xml:space="preserve">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 xml:space="preserve">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§4.3.b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 xml:space="preserve">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 xml:space="preserve">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 xml:space="preserve">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 xml:space="preserve">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 xml:space="preserve">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 xml:space="preserve">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 xml:space="preserve">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§6.3.b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 xml:space="preserve">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 xml:space="preserve">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 xml:space="preserve">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§7.3.a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 xml:space="preserve">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 xml:space="preserve">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 xml:space="preserve">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 xml:space="preserve">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 xml:space="preserve">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 xml:space="preserve">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 xml:space="preserve">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 xml:space="preserve">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 xml:space="preserve">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 xml:space="preserve">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§9.4.b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 xml:space="preserve">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§9.10  </w:t>
      </w:r>
      <w:r>
        <w:rPr>
          <w:rFonts w:ascii="Garamond" w:eastAsia="Garamond" w:hAnsi="Garamond" w:cs="Garamond"/>
          <w:i/>
          <w:iCs/>
          <w:color w:val="1B2A4A"/>
          <w:sz w:val="22"/>
          <w:szCs w:val="22"/>
        </w:rPr>
        <w:t xml:space="preserve">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§9.11  </w:t>
      </w:r>
      <w:r>
        <w:rPr>
          <w:rFonts w:ascii="Garamond" w:eastAsia="Garamond" w:hAnsi="Garamond" w:cs="Garamond"/>
          <w:i/>
          <w:iCs/>
          <w:color w:val="1B2A4A"/>
          <w:sz w:val="22"/>
          <w:szCs w:val="22"/>
        </w:rPr>
        <w:t xml:space="preserve">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§9.11.a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 xml:space="preserve">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§9.12  </w:t>
      </w:r>
      <w:r>
        <w:rPr>
          <w:rFonts w:ascii="Garamond" w:eastAsia="Garamond" w:hAnsi="Garamond" w:cs="Garamond"/>
          <w:i/>
          <w:iCs/>
          <w:color w:val="1B2A4A"/>
          <w:sz w:val="22"/>
          <w:szCs w:val="22"/>
        </w:rPr>
        <w:t xml:space="preserve">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§9.14  </w:t>
      </w:r>
      <w:r>
        <w:rPr>
          <w:rFonts w:ascii="Garamond" w:eastAsia="Garamond" w:hAnsi="Garamond" w:cs="Garamond"/>
          <w:i/>
          <w:iCs/>
          <w:color w:val="1B2A4A"/>
          <w:sz w:val="22"/>
          <w:szCs w:val="22"/>
        </w:rPr>
        <w:t xml:space="preserve">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 xml:space="preserve">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§10.3  </w:t>
      </w:r>
      <w:r>
        <w:rPr>
          <w:rFonts w:ascii="Garamond" w:eastAsia="Garamond" w:hAnsi="Garamond" w:cs="Garamond"/>
          <w:i/>
          <w:iCs/>
          <w:color w:val="1B2A4A"/>
          <w:sz w:val="22"/>
          <w:szCs w:val="22"/>
        </w:rPr>
        <w:t xml:space="preserve">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 xml:space="preserve">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 xml:space="preserve">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 xml:space="preserve">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 xml:space="preserve">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 xml:space="preserve">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 xml:space="preserve">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 xml:space="preserve">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respective Monitor’s finding of conflict.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§9.14.</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 xml:space="preserve">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 xml:space="preserve">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 xml:space="preserve">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 xml:space="preserve">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 xml:space="preserve">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 Following an EM finding that the mechanism has failed, the Monetary Authority must submit a remedy plan to the Civic Consul and the Speaker of each chamber within 30 days, published to the NRS.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 xml:space="preserve">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 xml:space="preserve">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 xml:space="preserve">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 xml:space="preserve">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 xml:space="preserve">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 xml:space="preserve">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 xml:space="preserve">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 xml:space="preserve">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 xml:space="preserve">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 xml:space="preserve">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 xml:space="preserve">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 xml:space="preserve">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 xml:space="preserve">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 xml:space="preserve">Voluntary State Independence</w:t>
      </w:r>
    </w:p>
    <w:p w14:paraId="46F2C47E" w14:textId="77777777" w:rsidR="00AF3D56" w:rsidRDefault="00000000">
      <w:pPr>
        <w:spacing w:after="120"/>
        <w:ind w:left="431"/>
        <w:jc w:val="both"/>
      </w:pPr>
      <w:r>
        <w:rPr>
          <w:rFonts w:ascii="Garamond" w:eastAsia="Garamond" w:hAnsi="Garamond" w:cs="Garamond"/>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w:t>
        <w:lastRenderedPageBreak/>
        <w:t>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14:paraId="54D1A1D2" w14:textId="77777777"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 xml:space="preserve">Acknowledgment of Prior Sovereignty</w:t>
      </w:r>
    </w:p>
    <w:p w14:paraId="0939DCD8" w14:textId="77777777" w:rsidR="00AF3D56" w:rsidRDefault="00000000">
      <w:pPr>
        <w:spacing w:after="120"/>
        <w:ind w:left="431"/>
        <w:jc w:val="both"/>
      </w:pPr>
      <w:r>
        <w:rPr>
          <w:rFonts w:ascii="Garamond" w:eastAsia="Garamond" w:hAnsi="Garamond" w:cs="Garamond"/>
          <w:color w:val="2A2A2A"/>
          <w:sz w:val="22"/>
          <w:szCs w:val="22"/>
        </w:rPr>
        <w:t>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14:paraId="0BD9FEFF" w14:textId="77777777"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 xml:space="preserve">Compact Formation</w:t>
      </w:r>
    </w:p>
    <w:p w14:paraId="45183CC6" w14:textId="77777777" w:rsidR="00AF3D56" w:rsidRDefault="00000000">
      <w:pPr>
        <w:spacing w:after="120"/>
        <w:ind w:left="431"/>
        <w:jc w:val="both"/>
      </w:pPr>
      <w:r>
        <w:rPr>
          <w:rFonts w:ascii="Garamond" w:eastAsia="Garamond" w:hAnsi="Garamond" w:cs="Garamond"/>
          <w:color w:val="2A2A2A"/>
          <w:sz w:val="22"/>
          <w:szCs w:val="22"/>
        </w:rPr>
        <w:t>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14:paraId="4DE0645A" w14:textId="77777777"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 xml:space="preserve">Rights and Governance in Compact Territories</w:t>
      </w:r>
    </w:p>
    <w:p w14:paraId="3476A42B" w14:textId="77777777" w:rsidR="00AF3D56" w:rsidRDefault="00000000">
      <w:pPr>
        <w:spacing w:after="120"/>
        <w:ind w:left="431"/>
        <w:jc w:val="both"/>
      </w:pPr>
      <w:r>
        <w:rPr>
          <w:rFonts w:ascii="Garamond" w:eastAsia="Garamond" w:hAnsi="Garamond" w:cs="Garamond"/>
          <w:color w:val="2A2A2A"/>
          <w:sz w:val="22"/>
          <w:szCs w:val="22"/>
        </w:rPr>
        <w:t>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14:paraId="4684C66F" w14:textId="77777777"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 xml:space="preserve">Compact Administration and Continuity</w:t>
      </w:r>
    </w:p>
    <w:p w14:paraId="6EBD6EBB" w14:textId="77777777" w:rsidR="00AF3D56" w:rsidRDefault="00000000">
      <w:pPr>
        <w:spacing w:after="120"/>
        <w:ind w:left="431"/>
        <w:jc w:val="both"/>
      </w:pPr>
      <w:r>
        <w:rPr>
          <w:rFonts w:ascii="Garamond" w:eastAsia="Garamond" w:hAnsi="Garamond" w:cs="Garamond"/>
          <w:color w:val="2A2A2A"/>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14:paraId="744DF70A"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§16.5  </w:t>
      </w:r>
      <w:r>
        <w:rPr>
          <w:rFonts w:ascii="Garamond" w:eastAsia="Garamond" w:hAnsi="Garamond" w:cs="Garamond"/>
          <w:i/>
          <w:iCs/>
          <w:color w:val="1B2A4A"/>
          <w:sz w:val="22"/>
          <w:szCs w:val="22"/>
        </w:rPr>
        <w:t xml:space="preserve">Federal Obligations and Emergency Rights</w:t>
      </w:r>
    </w:p>
    <w:p w14:paraId="6E0B2541" w14:textId="77777777" w:rsidR="00AF3D56" w:rsidRDefault="00000000">
      <w:pPr>
        <w:spacing w:after="120"/>
        <w:ind w:left="431"/>
        <w:jc w:val="both"/>
      </w:pPr>
      <w:r>
        <w:rPr>
          <w:rFonts w:ascii="Garamond" w:eastAsia="Garamond" w:hAnsi="Garamond" w:cs="Garamond"/>
          <w:color w:val="2A2A2A"/>
          <w:sz w:val="22"/>
          <w:szCs w:val="22"/>
        </w:rPr>
        <w:t>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14:paraId="3CA11ABC" w14:textId="77777777" w:rsidR="00AF3D56" w:rsidRDefault="00000000">
      <w:pPr>
        <w:spacing w:before="200" w:after="60"/>
        <w:ind w:left="431"/>
      </w:pPr>
      <w:r>
        <w:rPr>
          <w:rFonts w:ascii="Courier New" w:eastAsia="Courier New" w:hAnsi="Courier New" w:cs="Courier New"/>
          <w:b/>
          <w:bCs/>
          <w:color w:val="2A2A2A"/>
          <w:sz w:val="18"/>
          <w:szCs w:val="18"/>
        </w:rPr>
        <w:t xml:space="preserve">§16.6  </w:t>
      </w:r>
      <w:r>
        <w:rPr>
          <w:rFonts w:ascii="Garamond" w:eastAsia="Garamond" w:hAnsi="Garamond" w:cs="Garamond"/>
          <w:i/>
          <w:iCs/>
          <w:color w:val="1B2A4A"/>
          <w:sz w:val="22"/>
          <w:szCs w:val="22"/>
        </w:rPr>
        <w:t xml:space="preserve">Treaty Supremacy and Continuity</w:t>
      </w:r>
    </w:p>
    <w:p w14:paraId="0B8B7C56" w14:textId="77777777"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14:paraId="012DA126" w14:textId="77777777" w:rsidR="00AF3D56" w:rsidRDefault="00000000">
      <w:pPr>
        <w:spacing w:before="200" w:after="60"/>
        <w:ind w:left="431"/>
      </w:pPr>
      <w:r>
        <w:rPr>
          <w:rFonts w:ascii="Courier New" w:eastAsia="Courier New" w:hAnsi="Courier New" w:cs="Courier New"/>
          <w:b/>
          <w:bCs/>
          <w:color w:val="2A2A2A"/>
          <w:sz w:val="18"/>
          <w:szCs w:val="18"/>
        </w:rPr>
        <w:t xml:space="preserve">§16.7  </w:t>
      </w:r>
      <w:r>
        <w:rPr>
          <w:rFonts w:ascii="Garamond" w:eastAsia="Garamond" w:hAnsi="Garamond" w:cs="Garamond"/>
          <w:i/>
          <w:iCs/>
          <w:color w:val="1B2A4A"/>
          <w:sz w:val="22"/>
          <w:szCs w:val="22"/>
        </w:rPr>
        <w:t xml:space="preserve">Indigenous Nation Status Elections</w:t>
      </w:r>
    </w:p>
    <w:p w14:paraId="4E8BE13B" w14:textId="77777777" w:rsidR="00AF3D56" w:rsidRDefault="00000000">
      <w:pPr>
        <w:spacing w:after="120"/>
        <w:ind w:left="431"/>
        <w:jc w:val="both"/>
      </w:pPr>
      <w:r>
        <w:rPr>
          <w:rFonts w:ascii="Garamond" w:eastAsia="Garamond" w:hAnsi="Garamond" w:cs="Garamond"/>
          <w:color w:val="2A2A2A"/>
          <w:sz w:val="22"/>
          <w:szCs w:val="22"/>
        </w:rPr>
        <w:t>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14:paraId="674C77A3" w14:textId="77777777" w:rsidR="00AF3D56" w:rsidRDefault="00000000">
      <w:pPr>
        <w:spacing w:before="200" w:after="60"/>
        <w:ind w:left="431"/>
      </w:pPr>
      <w:r>
        <w:rPr>
          <w:rFonts w:ascii="Courier New" w:eastAsia="Courier New" w:hAnsi="Courier New" w:cs="Courier New"/>
          <w:b/>
          <w:bCs/>
          <w:color w:val="2A2A2A"/>
          <w:sz w:val="18"/>
          <w:szCs w:val="18"/>
        </w:rPr>
        <w:t xml:space="preserve">§16.7.a  </w:t>
      </w:r>
      <w:r>
        <w:rPr>
          <w:rFonts w:ascii="Garamond" w:eastAsia="Garamond" w:hAnsi="Garamond" w:cs="Garamond"/>
          <w:i/>
          <w:iCs/>
          <w:color w:val="1B2A4A"/>
          <w:sz w:val="22"/>
          <w:szCs w:val="22"/>
        </w:rPr>
        <w:t>Status Election Process</w:t>
      </w:r>
    </w:p>
    <w:p w14:paraId="7B96A066" w14:textId="77777777" w:rsidR="00AF3D56" w:rsidRDefault="00000000">
      <w:pPr>
        <w:spacing w:after="120"/>
        <w:ind w:left="431"/>
        <w:jc w:val="both"/>
      </w:pPr>
      <w:r>
        <w:rPr>
          <w:rFonts w:ascii="Garamond" w:eastAsia="Garamond" w:hAnsi="Garamond" w:cs="Garamond"/>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w:t>
        <w:lastRenderedPageBreak/>
        <w:t>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 xml:space="preserve">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 xml:space="preserve">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 xml:space="preserve">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 xml:space="preserve">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 xml:space="preserve">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 xml:space="preserve">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 xml:space="preserve">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 xml:space="preserve">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 xml:space="preserve">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 xml:space="preserve">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 xml:space="preserve">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 xml:space="preserve">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 xml:space="preserve">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 xml:space="preserve">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 xml:space="preserve">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 xml:space="preserve">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 xml:space="preserve">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 xml:space="preserve">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 xml:space="preserve">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 xml:space="preserve">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 xml:space="preserve">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 xml:space="preserve">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 xml:space="preserve">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5F487F"/>
    <w:rsid w:val="0088569E"/>
    <w:rsid w:val="00940D3B"/>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24518</Words>
  <Characters>139754</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3</cp:revision>
  <dcterms:created xsi:type="dcterms:W3CDTF">2026-07-06T19:02:00Z</dcterms:created>
  <dcterms:modified xsi:type="dcterms:W3CDTF">2026-07-06T19:03:00Z</dcterms:modified>
</cp:coreProperties>
</file>