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favour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Labour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labour are absolutely prohibited. Lawfully imposed prison labour and compulsory military service under the terms established by statute do not constitute forced labour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penalise expression through intermediaries it controls or pressures.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licences.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by the Elections Panel.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 Where domain of a proposed action is disputed, the JEC under §2.14 is the first forum. Pending resolution, the PM's residual authority governs except for matters expressly enumerated in §2.1. During active military operations, the President's domain governs operational decisions; either executive may petition the SC for an expedited domain determination.</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most senior confirmed Cabinet Minister continues as Caretaker PM. If no PM has been elected by absolute majority within 120 days of any general election or vacancy, the Elections Panel automatically administers a new House general election; the Caretaker mechanism continues until the newly elected House elects a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member of the Senate Armed Services Committee by continuous Senate service holds the office from that moment.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certification,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EI and LI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PM and are published to the NRS. This authority expires automatically when a new House is seated. In catastrophic circumstances where the Legislature cannot convene, expedited activation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following joint LI and EI certification of constitutional breach, demonstrated permanent incapacity, or conviction for a disqualifying offense. Under the popular track, a Senate majority may refer the question to a national recall referendum administered within the period defined by statute. The President is removed if the referendum achieves 60% of votes cast under §11.4 with a minimum 55% citizen participation. A failed referendum may not be re-initiated within the same presidential term. The Senate Speaker holds Acting Presidential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 court finding that a bill addresses multiple unrelated subjects voids the act.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may establish a joint ethics committee with authority to sanction and refer members; removal requires 2/3 of the relevant chamber following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sessions as Speaker without sitting out one session.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presiding officer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tied to constitutional rights,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until it does, the relevant Inspectorate certifies the constitutional breach annually and reports on compliance, but does not substitute for the agency.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§1.32;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House may establish, abolish, and define the jurisdiction of inferior courts by statute. States may maintain specialised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The Legislature defines qualifications for inferior court judges by statute; the JI certifies eligibility of each pool applicant against those qualifications. The PM must nominate within the period defined by statute following a vacancy.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within the scope of Article I.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under §8.4.e — any eligible citizen who applies and meets the qualification criteria is entered. The PM nominates within the period defined by statute following a vacancy (not to exceed 90 days for scheduled vacancies, 60 days for mid-term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Where the PM fails to nominate within 30 days of an LI certification of constitutional breach under this section, the Senate may select a nominee directly from the SC Candidate Registry by 2/3 vote of full seated membership; a Senate selection under this provision requires no further PM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labour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Children of citizens are Inhabitants from birth with full Article I protections; full citizenship rights activate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self-sufficiency or support guarantee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state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 except the presidential election which follows §7.2.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The JIC certifies the designation and both executives are notified immediately; notice does not condition the designation’s effectiveness.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requires broad Senate consensus for confirmation.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sufficiently in advance under the timeline defined by statute to ensure confirmation is complete before the transition under §1.31;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The EI IG is nominated jointly by the House Speaker and Senate Speaker from a pool of qualified candidates maintained by the Elections Panel, sufficiently in advance under the timeline defined by statute under §1.31;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§8.13 from the JI Candidate Pool under §8.4.a maintained by the Elections Panel, conducted at the statutory timeline under §1.31, sufficiently in advance to ensure seamless succession;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§8.15,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Selection by deliberate nomination: the named officer nominates from certified pool members. Confirmation where required: the Senate must act within the period defined by the establishing provision; failure to confirm within that period is a constitutional compliance breach certified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§8.9;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certify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Every government act required to be published must appear on the NRS before it takes legal effect.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automatic declassification and NRS publication applies within 30 days.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EI audits its operations annually and publishes findings to the NRS. The Legislature may not define MA independence standards in a manner that compromises the credibility of its certification functions; the EI assesses MA independence through its annual operational audit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of taking office and annually thereafter; disclosure records are published to the NRS. Any officer with a direct financial interest in a decision within their authority must recuse themselves; recusal is self-executing.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and certification follow §8.13;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§8.15.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national citizen initiative referendum at the thresholds defined in §15.1. Citizen-initiated legislation that bypasses the Legislature requires the higher democratic mandate of the citizen-led amendment threshold.</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starve local governments to achieve de facto state centralization.</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Three purposes are explicitly prohibited regardless of legislative authorization: nation-building,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recognized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A proposed amendment may be withdrawn at any point before ratification is certified. Citizen Initiative Amendment (Path C):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Path C amendments are subject to §15.5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National Record System and Electoral Operations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States may offer early voting, mail-in ballots, and alternative participation methods provided all methods connect to the NVS and meet its constitutional standards. No State may reduce NVS access, functionality, or availability within its territory.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full panel ratifies them by majority vote.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Candidates who receive impermissible contributions must report them within 10 days and either return them or have them treated as undisclosed.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recognized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