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(not less than 55%, not more than 67% of full Senate membership).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registered candidates. The Board may publish an advisory assessment of any registered candidate's judicial record, legal reasoning, and professional independence — on request from the PM or any Senator, or on the Board's own motion. All assessments are published to the NRS and transmitted to the Senate before any confirmation vote. Advisory only — the Board holds no nomination authority and no ability to restrict any PM nomination.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 JI-certified candidate from the SC Candidate Registry. For scheduled vacancies, the PM must nominate within 60 days of the outgoing justice's term ending. For mid-term vacancies, the PM must nominate within 45 days of the vacancy arising. Within 30 days of nomination, the JI confirms the candidate's registry status and publishes its assessment to the NRS — covering the nominee's judicial record, legal career, and any relevant conflicts of interest. Any Judicial Selection Board assessment of the nominee is transmitted to the Senate simultaneously. The Senate must vote within 90 days of the JI assessment being published. Failure to vote within 90 days is a constitutional compliance breach certified by the LI. No deemed confirmation applies — the Senate must hold an affirmative vote. If the Senate declines to confirm, the PM submits a new nomination within 30 days and the full process restarts from that nomination. The confirmed justice takes the Official Oath; the confirmation and JI assessment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minimum pool thresholds, and compensation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JI constitutes the Panel by public lottery within five days, drawing five members from the combined national pool plus two alternates, in a single session certified jointly by all three Inspectorates and published to the NRS in real time. Members must accept or decline within 48 hours; alternates fill declined seats in draw order. If both alternates are exhausted before five members have accepted, the JI conducts a supplemental draw.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Council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Council's working sessions to verify that the Council has the access to records, systems, and personnel required by its statutory mandate, and review the Council's findings before publication to confirm the findings reflect the Council's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immediately: Senate seats are vacated;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SC on the sole ground that the LI's published audit findings are factually insufficient to establish three consecutive failures under §13.3. The Court reviews only the factual basis of the audit findings — not the Senate's judgment,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2026-05-22T11:26:29.484Z</dcterms:created>
  <dcterms:modified xsi:type="dcterms:W3CDTF">2026-05-22T11:26:29.484Z</dcterms:modified>
</cp:coreProperties>
</file>

<file path=docProps/custom.xml><?xml version="1.0" encoding="utf-8"?>
<Properties xmlns="http://schemas.openxmlformats.org/officeDocument/2006/custom-properties" xmlns:vt="http://schemas.openxmlformats.org/officeDocument/2006/docPropsVTypes"/>
</file>