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Seat Allocation — Webster Method</w:t>
      </w:r>
    </w:p>
    <w:p>
      <w:pPr>
        <w:spacing w:after="120" w:before="0"/>
        <w:ind w:left="863"/>
        <w:jc w:val="both"/>
      </w:pPr>
      <w:r>
        <w:rPr>
          <w:rFonts w:ascii="Garamond" w:cs="Garamond" w:eastAsia="Garamond" w:hAnsi="Garamond"/>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Territorial District Drawing</w:t>
      </w:r>
    </w:p>
    <w:p>
      <w:pPr>
        <w:spacing w:after="120" w:before="0"/>
        <w:ind w:left="863"/>
        <w:jc w:val="both"/>
      </w:pPr>
      <w:r>
        <w:rPr>
          <w:rFonts w:ascii="Garamond" w:cs="Garamond" w:eastAsia="Garamond" w:hAnsi="Garamond"/>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the Webster method under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pPr>
      <w:r>
        <w:rPr>
          <w:rFonts w:ascii="Courier New" w:cs="Courier New" w:eastAsia="Courier New" w:hAnsi="Courier New"/>
          <w:b/>
          <w:bCs/>
          <w:color w:val="1B2A4A"/>
          <w:sz w:val="18"/>
          <w:szCs w:val="18"/>
        </w:rPr>
        <w:t xml:space="preserve">§4.5  </w:t>
      </w:r>
      <w:r>
        <w:rPr>
          <w:rFonts w:ascii="Garamond" w:cs="Garamond" w:eastAsia="Garamond" w:hAnsi="Garamond"/>
          <w:b/>
          <w:bCs/>
          <w:color w:val="1B2A4A"/>
          <w:sz w:val="22"/>
          <w:szCs w:val="22"/>
        </w:rPr>
        <w:t xml:space="preserve">Jury Service</w:t>
      </w:r>
    </w:p>
    <w:p>
      <w:pPr>
        <w:spacing w:after="120" w:before="0"/>
        <w:ind w:left="431"/>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§10.1.b  </w:t>
      </w:r>
      <w:r>
        <w:rPr>
          <w:rFonts w:ascii="Garamond" w:cs="Garamond" w:eastAsia="Garamond" w:hAnsi="Garamond"/>
          <w:b/>
          <w:bCs/>
          <w:color w:val="1B2A4A"/>
          <w:sz w:val="22"/>
          <w:szCs w:val="22"/>
        </w:rPr>
        <w:t xml:space="preserve">BNF Adequacy Standard</w:t>
      </w:r>
    </w:p>
    <w:p>
      <w:pPr>
        <w:spacing w:after="120" w:before="0"/>
        <w:ind w:left="863"/>
        <w:jc w:val="both"/>
      </w:pPr>
      <w:r>
        <w:rPr>
          <w:rFonts w:ascii="Garamond" w:cs="Garamond" w:eastAsia="Garamond" w:hAnsi="Garamond"/>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863"/>
      </w:pPr>
      <w:r>
        <w:rPr>
          <w:rFonts w:ascii="Courier New" w:cs="Courier New" w:eastAsia="Courier New" w:hAnsi="Courier New"/>
          <w:b/>
          <w:bCs/>
          <w:color w:val="1B2A4A"/>
          <w:sz w:val="18"/>
          <w:szCs w:val="18"/>
        </w:rPr>
        <w:t xml:space="preserve">§10.1.c  </w:t>
      </w:r>
      <w:r>
        <w:rPr>
          <w:rFonts w:ascii="Garamond" w:cs="Garamond" w:eastAsia="Garamond" w:hAnsi="Garamond"/>
          <w:b/>
          <w:bCs/>
          <w:color w:val="1B2A4A"/>
          <w:sz w:val="22"/>
          <w:szCs w:val="22"/>
        </w:rPr>
        <w:t xml:space="preserve">BNF Coverage Scope</w:t>
      </w:r>
    </w:p>
    <w:p>
      <w:pPr>
        <w:spacing w:after="120" w:before="0"/>
        <w:ind w:left="863"/>
        <w:jc w:val="both"/>
      </w:pPr>
      <w:r>
        <w:rPr>
          <w:rFonts w:ascii="Garamond" w:cs="Garamond" w:eastAsia="Garamond" w:hAnsi="Garamond"/>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Election and Board Composition</w:t>
      </w:r>
    </w:p>
    <w:p>
      <w:pPr>
        <w:spacing w:after="120" w:before="0"/>
        <w:ind w:left="863"/>
        <w:jc w:val="both"/>
      </w:pPr>
      <w:r>
        <w:rPr>
          <w:rFonts w:ascii="Garamond" w:cs="Garamond" w:eastAsia="Garamond" w:hAnsi="Garamond"/>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1296"/>
      </w:pPr>
      <w:r>
        <w:rPr>
          <w:rFonts w:ascii="Courier New" w:cs="Courier New" w:eastAsia="Courier New" w:hAnsi="Courier New"/>
          <w:b/>
          <w:bCs/>
          <w:color w:val="1B2A4A"/>
          <w:sz w:val="18"/>
          <w:szCs w:val="18"/>
        </w:rPr>
        <w:t xml:space="preserve">§10.4.b.ii  </w:t>
      </w:r>
      <w:r>
        <w:rPr>
          <w:rFonts w:ascii="Garamond" w:cs="Garamond" w:eastAsia="Garamond" w:hAnsi="Garamond"/>
          <w:b/>
          <w:bCs/>
          <w:color w:val="1B2A4A"/>
          <w:sz w:val="22"/>
          <w:szCs w:val="22"/>
        </w:rPr>
        <w:t xml:space="preserve">Acting MA Director</w:t>
      </w:r>
    </w:p>
    <w:p>
      <w:pPr>
        <w:spacing w:after="120" w:before="0"/>
        <w:ind w:left="1296"/>
        <w:jc w:val="both"/>
      </w:pPr>
      <w:r>
        <w:rPr>
          <w:rFonts w:ascii="Garamond" w:cs="Garamond" w:eastAsia="Garamond" w:hAnsi="Garamond"/>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and Revolving Door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 see §10.5.c</w:t>
      </w:r>
    </w:p>
    <w:p>
      <w:pPr>
        <w:spacing w:after="120" w:before="0"/>
        <w:ind w:left="863"/>
        <w:jc w:val="both"/>
      </w:pPr>
      <w:r>
        <w:rPr>
          <w:rFonts w:ascii="Garamond" w:cs="Garamond" w:eastAsia="Garamond" w:hAnsi="Garamond"/>
          <w:color w:val="2a2520"/>
          <w:sz w:val="22"/>
          <w:szCs w:val="22"/>
        </w:rPr>
        <w:t xml:space="preserve">Post-service restrictions including the revolving door prohibition are consolidated in §10.5.c.</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Trustee Pool</w:t>
      </w:r>
    </w:p>
    <w:p>
      <w:pPr>
        <w:spacing w:after="120" w:before="0"/>
        <w:ind w:left="863"/>
        <w:jc w:val="both"/>
      </w:pPr>
      <w:r>
        <w:rPr>
          <w:rFonts w:ascii="Garamond" w:cs="Garamond" w:eastAsia="Garamond" w:hAnsi="Garamond"/>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1296"/>
      </w:pPr>
      <w:r>
        <w:rPr>
          <w:rFonts w:ascii="Courier New" w:cs="Courier New" w:eastAsia="Courier New" w:hAnsi="Courier New"/>
          <w:b/>
          <w:bCs/>
          <w:color w:val="1B2A4A"/>
          <w:sz w:val="18"/>
          <w:szCs w:val="18"/>
        </w:rPr>
        <w:t xml:space="preserve">§10.6.a.i  </w:t>
      </w:r>
      <w:r>
        <w:rPr>
          <w:rFonts w:ascii="Garamond" w:cs="Garamond" w:eastAsia="Garamond" w:hAnsi="Garamond"/>
          <w:b/>
          <w:bCs/>
          <w:color w:val="1B2A4A"/>
          <w:sz w:val="22"/>
          <w:szCs w:val="22"/>
        </w:rPr>
        <w:t xml:space="preserve">Trustee Draw and Terms</w:t>
      </w:r>
    </w:p>
    <w:p>
      <w:pPr>
        <w:spacing w:after="120" w:before="0"/>
        <w:ind w:left="1296"/>
        <w:jc w:val="both"/>
      </w:pPr>
      <w:r>
        <w:rPr>
          <w:rFonts w:ascii="Garamond" w:cs="Garamond" w:eastAsia="Garamond" w:hAnsi="Garamond"/>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1296"/>
      </w:pPr>
      <w:r>
        <w:rPr>
          <w:rFonts w:ascii="Courier New" w:cs="Courier New" w:eastAsia="Courier New" w:hAnsi="Courier New"/>
          <w:b/>
          <w:bCs/>
          <w:color w:val="1B2A4A"/>
          <w:sz w:val="18"/>
          <w:szCs w:val="18"/>
        </w:rPr>
        <w:t xml:space="preserve">§10.6.a.ii  </w:t>
      </w:r>
      <w:r>
        <w:rPr>
          <w:rFonts w:ascii="Garamond" w:cs="Garamond" w:eastAsia="Garamond" w:hAnsi="Garamond"/>
          <w:b/>
          <w:bCs/>
          <w:color w:val="1B2A4A"/>
          <w:sz w:val="22"/>
          <w:szCs w:val="22"/>
        </w:rPr>
        <w:t xml:space="preserve">Trustee Mandate and Accountability</w:t>
      </w:r>
    </w:p>
    <w:p>
      <w:pPr>
        <w:spacing w:after="120" w:before="0"/>
        <w:ind w:left="1296"/>
        <w:jc w:val="both"/>
      </w:pPr>
      <w:r>
        <w:rPr>
          <w:rFonts w:ascii="Garamond" w:cs="Garamond" w:eastAsia="Garamond" w:hAnsi="Garamond"/>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 — see §4.5</w:t>
      </w:r>
    </w:p>
    <w:p>
      <w:pPr>
        <w:spacing w:after="120" w:before="0"/>
        <w:ind w:left="863"/>
        <w:jc w:val="both"/>
      </w:pPr>
      <w:r>
        <w:rPr>
          <w:rFonts w:ascii="Garamond" w:cs="Garamond" w:eastAsia="Garamond" w:hAnsi="Garamond"/>
          <w:color w:val="2a2520"/>
          <w:sz w:val="22"/>
          <w:szCs w:val="22"/>
        </w:rPr>
        <w:t xml:space="preserve">Jury service obligations, compensation, and enforcement are established in §4.5.</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pPr>
      <w:r>
        <w:rPr>
          <w:rFonts w:ascii="Courier New" w:cs="Courier New" w:eastAsia="Courier New" w:hAnsi="Courier New"/>
          <w:b/>
          <w:bCs/>
          <w:color w:val="1B2A4A"/>
          <w:sz w:val="18"/>
          <w:szCs w:val="18"/>
        </w:rPr>
        <w:t xml:space="preserve">§13.7  </w:t>
      </w:r>
      <w:r>
        <w:rPr>
          <w:rFonts w:ascii="Garamond" w:cs="Garamond" w:eastAsia="Garamond" w:hAnsi="Garamond"/>
          <w:b/>
          <w:bCs/>
          <w:color w:val="1B2A4A"/>
          <w:sz w:val="22"/>
          <w:szCs w:val="22"/>
        </w:rPr>
        <w:t xml:space="preserve">Territorial Merger with Existing State</w:t>
      </w:r>
    </w:p>
    <w:p>
      <w:pPr>
        <w:spacing w:after="120" w:before="0"/>
        <w:ind w:left="431"/>
        <w:jc w:val="both"/>
      </w:pPr>
      <w:r>
        <w:rPr>
          <w:rFonts w:ascii="Garamond" w:cs="Garamond" w:eastAsia="Garamond" w:hAnsi="Garamond"/>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863"/>
      </w:pPr>
      <w:r>
        <w:rPr>
          <w:rFonts w:ascii="Courier New" w:cs="Courier New" w:eastAsia="Courier New" w:hAnsi="Courier New"/>
          <w:b/>
          <w:bCs/>
          <w:color w:val="1B2A4A"/>
          <w:sz w:val="18"/>
          <w:szCs w:val="18"/>
        </w:rPr>
        <w:t xml:space="preserve">§13.7.a  </w:t>
      </w:r>
      <w:r>
        <w:rPr>
          <w:rFonts w:ascii="Garamond" w:cs="Garamond" w:eastAsia="Garamond" w:hAnsi="Garamond"/>
          <w:b/>
          <w:bCs/>
          <w:color w:val="1B2A4A"/>
          <w:sz w:val="22"/>
          <w:szCs w:val="22"/>
        </w:rPr>
        <w:t xml:space="preserve">Petition and Eligibility</w:t>
      </w:r>
    </w:p>
    <w:p>
      <w:pPr>
        <w:spacing w:after="120" w:before="0"/>
        <w:ind w:left="863"/>
        <w:jc w:val="both"/>
      </w:pPr>
      <w:r>
        <w:rPr>
          <w:rFonts w:ascii="Garamond" w:cs="Garamond" w:eastAsia="Garamond" w:hAnsi="Garamond"/>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863"/>
      </w:pPr>
      <w:r>
        <w:rPr>
          <w:rFonts w:ascii="Courier New" w:cs="Courier New" w:eastAsia="Courier New" w:hAnsi="Courier New"/>
          <w:b/>
          <w:bCs/>
          <w:color w:val="1B2A4A"/>
          <w:sz w:val="18"/>
          <w:szCs w:val="18"/>
        </w:rPr>
        <w:t xml:space="preserve">§13.7.b  </w:t>
      </w:r>
      <w:r>
        <w:rPr>
          <w:rFonts w:ascii="Garamond" w:cs="Garamond" w:eastAsia="Garamond" w:hAnsi="Garamond"/>
          <w:b/>
          <w:bCs/>
          <w:color w:val="1B2A4A"/>
          <w:sz w:val="22"/>
          <w:szCs w:val="22"/>
        </w:rPr>
        <w:t xml:space="preserve">Dual Approval Requirement</w:t>
      </w:r>
    </w:p>
    <w:p>
      <w:pPr>
        <w:spacing w:after="120" w:before="0"/>
        <w:ind w:left="863"/>
        <w:jc w:val="both"/>
      </w:pPr>
      <w:r>
        <w:rPr>
          <w:rFonts w:ascii="Garamond" w:cs="Garamond" w:eastAsia="Garamond" w:hAnsi="Garamond"/>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§13.7.c  </w:t>
      </w:r>
      <w:r>
        <w:rPr>
          <w:rFonts w:ascii="Garamond" w:cs="Garamond" w:eastAsia="Garamond" w:hAnsi="Garamond"/>
          <w:b/>
          <w:bCs/>
          <w:color w:val="1B2A4A"/>
          <w:sz w:val="22"/>
          <w:szCs w:val="22"/>
        </w:rPr>
        <w:t xml:space="preserve">Joint Statehood Audit</w:t>
      </w:r>
    </w:p>
    <w:p>
      <w:pPr>
        <w:spacing w:after="120" w:before="0"/>
        <w:ind w:left="863"/>
        <w:jc w:val="both"/>
      </w:pPr>
      <w:r>
        <w:rPr>
          <w:rFonts w:ascii="Garamond" w:cs="Garamond" w:eastAsia="Garamond" w:hAnsi="Garamond"/>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863"/>
      </w:pPr>
      <w:r>
        <w:rPr>
          <w:rFonts w:ascii="Courier New" w:cs="Courier New" w:eastAsia="Courier New" w:hAnsi="Courier New"/>
          <w:b/>
          <w:bCs/>
          <w:color w:val="1B2A4A"/>
          <w:sz w:val="18"/>
          <w:szCs w:val="18"/>
        </w:rPr>
        <w:t xml:space="preserve">§13.7.d  </w:t>
      </w:r>
      <w:r>
        <w:rPr>
          <w:rFonts w:ascii="Garamond" w:cs="Garamond" w:eastAsia="Garamond" w:hAnsi="Garamond"/>
          <w:b/>
          <w:bCs/>
          <w:color w:val="1B2A4A"/>
          <w:sz w:val="22"/>
          <w:szCs w:val="22"/>
        </w:rPr>
        <w:t xml:space="preserve">Remaining Territory Viability</w:t>
      </w:r>
    </w:p>
    <w:p>
      <w:pPr>
        <w:spacing w:after="120" w:before="0"/>
        <w:ind w:left="863"/>
        <w:jc w:val="both"/>
      </w:pPr>
      <w:r>
        <w:rPr>
          <w:rFonts w:ascii="Garamond" w:cs="Garamond" w:eastAsia="Garamond" w:hAnsi="Garamond"/>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863"/>
      </w:pPr>
      <w:r>
        <w:rPr>
          <w:rFonts w:ascii="Courier New" w:cs="Courier New" w:eastAsia="Courier New" w:hAnsi="Courier New"/>
          <w:b/>
          <w:bCs/>
          <w:color w:val="1B2A4A"/>
          <w:sz w:val="18"/>
          <w:szCs w:val="18"/>
        </w:rPr>
        <w:t xml:space="preserve">§13.7.e  </w:t>
      </w:r>
      <w:r>
        <w:rPr>
          <w:rFonts w:ascii="Garamond" w:cs="Garamond" w:eastAsia="Garamond" w:hAnsi="Garamond"/>
          <w:b/>
          <w:bCs/>
          <w:color w:val="1B2A4A"/>
          <w:sz w:val="22"/>
          <w:szCs w:val="22"/>
        </w:rPr>
        <w:t xml:space="preserve">Senate Ratification and Effect</w:t>
      </w:r>
    </w:p>
    <w:p>
      <w:pPr>
        <w:spacing w:after="120" w:before="0"/>
        <w:ind w:left="863"/>
        <w:jc w:val="both"/>
      </w:pPr>
      <w:r>
        <w:rPr>
          <w:rFonts w:ascii="Garamond" w:cs="Garamond" w:eastAsia="Garamond" w:hAnsi="Garamond"/>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pPr>
      <w:r>
        <w:rPr>
          <w:rFonts w:ascii="Courier New" w:cs="Courier New" w:eastAsia="Courier New" w:hAnsi="Courier New"/>
          <w:b/>
          <w:bCs/>
          <w:color w:val="1B2A4A"/>
          <w:sz w:val="18"/>
          <w:szCs w:val="18"/>
        </w:rPr>
        <w:t xml:space="preserve">§13.8  </w:t>
      </w:r>
      <w:r>
        <w:rPr>
          <w:rFonts w:ascii="Garamond" w:cs="Garamond" w:eastAsia="Garamond" w:hAnsi="Garamond"/>
          <w:b/>
          <w:bCs/>
          <w:color w:val="1B2A4A"/>
          <w:sz w:val="22"/>
          <w:szCs w:val="22"/>
        </w:rPr>
        <w:t xml:space="preserve">State Immutability</w:t>
      </w:r>
    </w:p>
    <w:p>
      <w:pPr>
        <w:spacing w:after="120" w:before="0"/>
        <w:ind w:left="431"/>
        <w:jc w:val="both"/>
      </w:pPr>
      <w:r>
        <w:rPr>
          <w:rFonts w:ascii="Garamond" w:cs="Garamond" w:eastAsia="Garamond" w:hAnsi="Garamond"/>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Amendment Requirement for Territorial Reduction</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Media and Communication Standards</w:t>
      </w:r>
    </w:p>
    <w:p>
      <w:pPr>
        <w:spacing w:after="120" w:before="0"/>
        <w:ind w:left="863"/>
        <w:jc w:val="both"/>
      </w:pPr>
      <w:r>
        <w:rPr>
          <w:rFonts w:ascii="Garamond" w:cs="Garamond" w:eastAsia="Garamond" w:hAnsi="Garamond"/>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Foreign Interference Prohibition</w:t>
      </w:r>
    </w:p>
    <w:p>
      <w:pPr>
        <w:spacing w:after="120" w:before="0"/>
        <w:ind w:left="863"/>
        <w:jc w:val="both"/>
      </w:pPr>
      <w:r>
        <w:rPr>
          <w:rFonts w:ascii="Garamond" w:cs="Garamond" w:eastAsia="Garamond" w:hAnsi="Garamond"/>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Incumbent Advantage Rules</w:t>
      </w:r>
    </w:p>
    <w:p>
      <w:pPr>
        <w:spacing w:after="120" w:before="0"/>
        <w:ind w:left="863"/>
        <w:jc w:val="both"/>
      </w:pPr>
      <w:r>
        <w:rPr>
          <w:rFonts w:ascii="Garamond" w:cs="Garamond" w:eastAsia="Garamond" w:hAnsi="Garamond"/>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Public Financing Structure</w:t>
      </w:r>
    </w:p>
    <w:p>
      <w:pPr>
        <w:spacing w:after="120" w:before="0"/>
        <w:ind w:left="863"/>
        <w:jc w:val="both"/>
      </w:pPr>
      <w:r>
        <w:rPr>
          <w:rFonts w:ascii="Garamond" w:cs="Garamond" w:eastAsia="Garamond" w:hAnsi="Garamond"/>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Matching Funds</w:t>
      </w:r>
    </w:p>
    <w:p>
      <w:pPr>
        <w:spacing w:after="120" w:before="0"/>
        <w:ind w:left="863"/>
        <w:jc w:val="both"/>
      </w:pPr>
      <w:r>
        <w:rPr>
          <w:rFonts w:ascii="Garamond" w:cs="Garamond" w:eastAsia="Garamond" w:hAnsi="Garamond"/>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EC Allocation of Public Funds</w:t>
      </w:r>
    </w:p>
    <w:p>
      <w:pPr>
        <w:spacing w:after="120" w:before="0"/>
        <w:ind w:left="863"/>
        <w:jc w:val="both"/>
      </w:pPr>
      <w:r>
        <w:rPr>
          <w:rFonts w:ascii="Garamond" w:cs="Garamond" w:eastAsia="Garamond" w:hAnsi="Garamond"/>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2026-05-20T19:29:06.342Z</dcterms:created>
  <dcterms:modified xsi:type="dcterms:W3CDTF">2026-05-20T19:29:06.356Z</dcterms:modified>
</cp:coreProperties>
</file>

<file path=docProps/custom.xml><?xml version="1.0" encoding="utf-8"?>
<Properties xmlns="http://schemas.openxmlformats.org/officeDocument/2006/custom-properties" xmlns:vt="http://schemas.openxmlformats.org/officeDocument/2006/docPropsVTypes"/>
</file>