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The JEC has 14 days to produce a joint resolution. Where no joint resolution is published within 14 days, the matter is transmitted to the House Speaker and Senate Speaker jointly. The Legislature may resolve the deadlock by concurrent resolution of both chambers within 30 days — a concurrent resolution under this provision binds both executives to its terms for the duration of the impasse only and does not alter permanent domain boundaries. Where the Legislature does not act within 30 days, the PM’s residual authority governs until either the executives reach agreement or the Legislature acts. A coordination failure declaration and all resolution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then has 60 days to hold a removal vote; a 3/5 majority removes the officer permanently. A vote that fails to reach 3/5 reinstates the officer and closes the process. Where the Senate fails to vote within 60 days: if the next federal electoral period falls within 6 months, the matter is placed on that ballot; otherwise the Legislature may set a special election by concurrent resolution with a minimum 90-day notice period — failure to set a date within 30 days defaults the matter to the next federal electoral period. Removal by election requires 60% of votes cast. All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All pool records and certifications are published to the NRS.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requires: a substantiated finding from a State Designee Panel under §8.9; a 14-day SC appeal window from publication of the finding; and a 2/3 vote of both chambers simultaneously. Duty suspension triggers upon publication of a substantiated Panel finding, pending the vote and any SC review. Any IG may additionally be removed without cause by 3/4 of both chambers simultaneously, except the JI IG — whose lottery-based selection makes no-cause removal equivalent to a political veto over the draw result — who may be removed for cause only.</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Either finding is published permanently to the NRS. The subject officer may petition the SC within 14 days; the Court reviews only whether constitutional categories were correctly applied and must rule within 21 days;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 All designations, approvals, findings, and SC rulings are published permanently to the NRS.</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Two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requires: a substantiated finding from a State Designee Panel under §8.9; a 14-day SC appeal window from publication of the finding; and a 2/3 vote of both chambers simultaneously. Duty suspension triggers upon publication of a substantiated Panel finding. Any removal vote within 180 days of a major national election is automatically suspended pending SC review within 48 hours. The EI oversees each panel for executive accountability purposes. The JIC audits NRS operation and integrity compliance annually under §8.12; the JI audits Elections Panel operations and electoral integrity annually. All findings are published to the NRS and transmitted to both chambers.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