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Blanket declarations are constitutionally invalid. The declaration is published to the NRS immediately. An undisclosed emergency is not a constitutionally recognized emergency. Declarations expire automatically under §1.19.d and may not be renewed within 60 days of expiry.</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and treaty negotiation; intelligence; trade agreements subject to §2.4; and appointments within the Legat Consul's domain. Legat Consul's authority is enumerated; the Civic Consul's authority is residual. Where the domain of a proposed action is disputed, the Council of Ministers under §2.14 is the first forum; pending resolution, the Civic Consul's residual authority governs except for matters expressly enumerated in this provision.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EM reports any order authorizing domestic intelligence operations without judicial authorization to the NRS. The Legat Consul may veto legislation that raises a genuine constitutional concern within the Legat Consul's security domain — military operations, intelligence, treaty obligations, or border security. A general or speculative security connection is insufficient. Either Speaker may petition the SC for an expedited domain determination of any disputed veto; the SC must rule within 7 days of such petition. Under §9.1, either Speaker may request an EM assessment of the domain question, which the SC may consider as expert evidence. Where the SC confirms the veto falls outside the Legat Consul's defined domain, the veto is void and the bill proceeds to ordinary enactment without Legat Consul assent. Where the SC confirms the veto is within domain, the ordinary 2/3 override threshold applies.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The Civic Consul must respond to any request for concurrence within the period defined by statute; where no statutory period has been established, the constitutional default is 30 days. Where the Civic Consul does not respond within the applicable period, concurrence is deemed given for provisions that do not require new domestic legislation; silence on provisions that require new domestic legislation is deemed withheld.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and certified by the JM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as Consular. To hold the office of Civic Consul, a person must have been a citizen for at least 7 years at the time of taking office and must hold no federal felony conviction. No other eligibility requirement applies. The Civic Consul answers to the Assembly through the confidence mechanism and does not require consular confirmation for the exercise of the domestic domain.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The Legat Consul has no role in domestic emergencies. The Civic Consul has the right to be informed on national security matters that bear on domestic interests; no classification may be used to withhold such information from the Civic Consul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Civic Consul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 No person may serve more than 8 years in total as Civic Consul across all periods of service; this limit is cumulative and permanent regardless of interruption. 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Civic Consul designates a serving Assembly member; the designation is published to the NRS and confirmed by the LM.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by absolute majority and the Senate has not designated a Civic Consul within 45 days of the Assembly failing to elect one within the statutory period, the Elections Panel administers a public dissolution referendum; the question is whether the people wish to dissolve the Assembly and hold a new election; the referendum is administered with a minimum 30-day campaign window; a simple majority decides. If the Assembly elects a Civic Consul by absolute majority at any point before the dissolution vote is certified, the referendum is moot and concludes without effect. Where the dissolution vote passes, dissolution takes effect from the moment of Elections Panel certification and is published to the NRS; a new Assembly general election follows under the ordinary electoral process; the Acting mechanism continues until the new Assembly elects a Civic Consul.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in a concurrent vote;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Requires MA assessment; the Assembly may override by simple majority after receiving the assessment.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Consular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Consular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service by succession does not consume the successor's own eligibility to stand at the next election. Where the Legat Consul is temporarily unable to exercise authority, the EM and LM jointly assess capacity and, on joint assessment published to the NRS, Acting Consular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reported by the EM.</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Assembly Speaker and Senate Speaker jointly, and the Council of Ministers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Council of Ministers joint resolution published within the 14-day window closes the process; the Legislature takes no further action. Where neither the Council of Ministers nor the Legislature acts within 30 days of the declaration, the Civic Consul’s coordination authority governs the cross-domain interaction until either the executives reach agreement or the Legislature acts; the Legat Consul retains full authority within the Consular domain throughout and the default applies to how the two domains interact, not to the substance of matters within either domain.</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and does not hold a place in the Legat Consul succession line.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EM and published to the NRS. Mid-term vacancies in Assembly seats are filled by special election administered by the Elections Panel; the Legislature establishes timing and procedures by statute, ensuring no seat remains vacant beyond a reasonable period.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following and on the basis of a published EM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The Legislature defines qualification standards for each agency’s officer pool by statute. The JM’s ongoing audit of the Elections Panel encompasses the administration of each agency director pool; audit findings confirming pool status are published to the NRS. The Civic Consul nominates the agency director from the pool only; a nomination outside the pool is constitutionally void. The Senate confirms by 2/3 supermajority within 90 days of nomination; Where the Senate has not acted within 30 days of the LM compliance breach report, the Senate may select a nominee directly from the certified pool by 2/3 vote of full seated membership; a Senate selection under this provision requires no further Civic Consul nomination and proceeds directly to confirmation. Agency officers serve fixed terms defined by statute and are removable for cause only; no executive may unilaterally remove an independent agency officer. Cause must relate to conduct, competence, or a disqualifying offense under §3.12;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reported by the LM.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JM certifies eligibility against those qualifications and the Elections Panel enters certified applicants into the pool. Exceptions to pool eligibility — including persons currently holding government positions, those with disqualifying financial interests, and those removed from a court within a recent period — are defined by statute. The Civic Consul nominates inferior court judges from the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following an EM assessment of constitutional breach or demonstrated incapacity, which either chamber may request;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The Legislature establishes by statute the procedure for filling any remaining Temporary Associate Justice positions.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EM finding of constitutional breach in the exercise of judicial authority;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open SC Candidate Registry maintained by the Elections Panel under §9.4.b — any eligible citizen who applies and meets the qualification criteria is entered.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SC Candidate Registry is available on the NRS and the Senate may consider any published JM findings on the nominee; no deemed confirmation applies, but failure to vote within that period is certified by the LM as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SC Candidate Registry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outside the four certified categories;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Only the Elections Panel may certify that conditions have normalized sufficiently for elections to proceed; the postponement lapses and elections must be held immediately upon that certification. No further postponement may be granted without a new Elections Panel certification of impossibility and a new 2/3 legislative determination.</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(LM), Executive (EM), and Judicial (JM) — each selected by bodies other than those it oversees. The Monitors hold an information-only mandate: they publish findings but do not issue binding orders. Each Monitor General serves a 10-year non-renewable term with a constitutionally protected funding floor. Failure of a Monitor to act does not extinguish constitutional authority or suspend any constitutional obligation, unless this Constitution explicitly provides otherwise. The Monitors are the Republic's independent auditors. Their mandate is to observe constitutional processes, verify factual and legal compliance, and publish expert findings to the NRS. Monitor findings carry the authority of expert analysis — available to any party, given due weight, and not binding on any constitutional actor. No Monitor finding or assessment is a prerequisite for any legal proceeding, constitutional mechanism, or governmental function. Any constitutional officer, chamber, or body may request a focused assessment from any Monitor within that Monitor’s audit mandate, specifying a date by which the assessment is required. The Monitor publishes the assessment by the requested date where practicable; where this is not practicable, the Monitor publishes the reason and an estimated completion date within five days of receiving the request. Persistent non-responsiveness to reasonable requests is reportable by the other two Monitors. A requesting party may proceed with any constitutional process whether or not a requested assessment has been published.</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The JM certifies eligibility for the SC Candidate Registry under §9.4.b and confirms registry status for SC nominees, and conducts annual audits of the Elections Panel for electoral integrity compliance. The JM reviews accommodation compact compliance, Associated Community compact compliance under Article XX, and Article XVI indigenous compact obligations. The JM's mandate is procedural neutrality: ensuring that all functions requiring independence from political bias are conducted under an impartial constitutional authority. The JM's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national popular vote — the Legislature and both executives are entirely excluded. The Assembly Speaker and Senate Speaker jointly nominate the EM Monitor General, confirmed by national popular vote with JM vetting of the nominee’s disclosure record published before the vote — the executives are excluded and neither Speaker can act alone. The JM Monitor General is selected by public lottery from a pool of former judges certified by the LM and EM — the JM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Monitor General is nominated by the SC from a pool of qualified candidates maintained by the Elections Panel and certified jointly by the EM and JM, sufficiently in advance under the timeline defined by statute to ensure confirmation is complete before the transition under §3.13; confirmed by national popular vote at the next federal electoral period following nomination, by simple majority of votes cast. The confirmed successor assumes full Monitor General authority at the precise moment the incumbent’s term concludes under §3.13. If the confirmation vote fails, the §9.1.d acting mechanism activates and the SC initiates a new nomination from the pool within 60 days. The EM Monitor General is nominated jointly by the Assembly Speaker and Senate Speaker from a pool of qualified candidates maintained by the Elections Panel and certified jointly by the LM and JM, sufficiently in advance under the timeline defined by statute under §3.13; confirmed by national popular vote at the next federal electoral period following nomination, by simple majority of votes cast, with JM vetting of the nominee’s disclosure record published before the vote. The same timing and failed-vote provisions apply. Where the Assembly Speaker and Senate Speaker fail to jointly nominate within 60 days of a vacancy being published to the NRS, the Senate selects a nominee from the certified pool directly by 2/3 vote of full seated membership; the selected nominee proceeds to national popular vote confirmation on the same terms; the executives remain excluded from nomination under both paths. The JM Monitor General is selected by public lottery under §9.12 from the JM Candidate Pool under §9.4.a maintained by the Elections Panel, conducted at the statutory timeline under §3.13,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§3.13. If the confirmation vote fails, the §9.1.d acting mechanism activates and the JMC conducts a new lottery from the pool within 60 days; the same confirmation process applies to the new selection. All Monitor Generals serve 10-year non-renewable terms. No two Monitor General terms may begin within 18 months of each other, ensuring continuous institutional knowledge across offices. The Elections Panel administers all Monitor General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JM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JM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LM certifies each applicant's judicial service record for accuracy; the EM reviews financial disclosure; both certifications are published to the NRS as the pool entry record. The Elections Panel enters an applicant into the pool upon LM and EM certification; it may not exclude a certified applicant.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Elections Panel applies the stated eligibility criteria and enters qualifying applicants into the registry. The JM’s ongoing audit of the Elections Panel encompasses the administration of the SC Candidate Registry;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Monitors publish findings; they do not issue binding orders or legal determinations. Every finding, report, and discrepancy notice must be published to the NRS permanently and free of charge; no official may suppress, delay, classify, or alter an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reported by the LM.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EM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EM's annual report covers: whether military operations in the prior year were authorized through the correct tier; whether the §2.3 intelligence warrant requirement was maintained throughout all operations; whether Civic Consul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Monitors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 Generals jointly constitute the JMC as the standing coordination body for matters crossing Monitor jurisdictions. The JMC formally houses all jointly certified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qualifying applicants into the relevant registry or pool by applying the published qualification requirements. The relevant Monitor’s ongoing audit encompasses the Elections Panel’s administration of each pool and registry; audit findings are published to the NRS. Any applicant excluded may appeal to the SC within 14 days on the sole ground that the qualification requirements were misapplied. Pool records and certifications are public NRS records at all times. The Joint Monitor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reported by the LM. The JM monitors all constitutional pools annually and publishes a status report.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and a designation is made under the ordinary acting mechanism; this fallback applies only to judicial and Monitor pools.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in a concurrent vote; no removal vote may be held within 180 days of a major national election without prior SC review within 48 hours. Under the Judicial Track, where two of the three Monitors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Monitor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Monitor reports are permanently exempt from classification. Citizens may submit corrections or context to any NRS record through a public mechanism maintained by the LM;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JM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neither panel holds legislative, executive, judicial, or policy authority.</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the Monetary Authority as an independent agency under §3.9, responsible for monetary policy and fiscal integrity certification.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the functions protected under §2.15;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reported by the LM.</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and maintain the public campaign financing system under §8.3 within the period defined by statute following the first Legislature convening; failure to do so is a constitutional compliance breach reported by the LM.</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EM reports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independent Monetary Authority. The Endowment operates independently of the annual budget process. The Legislature must establish an Endowment Administrator as an independent agency under §3.9; failure to do so is a constitutional compliance breach reported by the LM. The Administrator’s sole mandate is to preserve and grow the Endowment for social state backstop purposes; it may not be directed to any other goal. Disbursements are activated on Monetary Authority certification of Severe Revenue Contraction and continue until the Monetary Authority certifies the contraction has ended. The EM audits the Administrator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EM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Legat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Legat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LM reports a constitutional compliance breach; the Civic Consul may provisionally extend expenditure certification for continued operations for up to 60 days total in two 30-day extensions, each requiring Civic Consul notification to the Senate and publication to the NRS confirming that the certified expenditure remains within the Declaration's scope; operational authority over those operations remains with the Legat Consul throughout.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Legat Consul may act immediately and must notify both chambers and the Civic Consul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grant provisional audit status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LM and confirmed by both the EM and JM. After each failing audit, the LM publishes an Early Warning specifying compliance requirements; the State must publish a Remediation Plan within the period defined by statute. After three consecutive failures, citizens vote on one of three paths: a two-year federal remediation commission; a State-managed remediation plan subject to LM quarterly assessment of progress against the published compliance requirements; or devolution to Territory status. The chosen path is published to the NRS.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JM's published assessment of whether the entity systematically violates any non-derogable right listed in §1.19.b;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Civic Consul's designated Compact Officer for domestic and governance matters; the Legat Consul's designated representative participates for any matter within the Legat Consul's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LM,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LM petition verification. Citizen initiative amendments are subject to §17.3 consistency analysis by the LM,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LM confirms the position was published before the use right is registered; where no position is published within 60 days, the LM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vetting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§5.1.a, within 180 days; the Census Bureau under §3.2, within 18 months; the Monetary Authority under §12.1, within 180 days; the Endowment Administrator under §12.5, within 12 months. Where the Legislature fails to meet a deadline, §3.9 applies: the LM publishes a compliance notice certifying the breach, and the responsible Monitor reports on the unfilled mandate until the agency is established. The LM publishes a compliance notice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XVI.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Judicial Monitor assesses and reports on compliance with this condition before parliamentary ratification of any compact; a compact negotiated with a non-compliant entity is void regardless of parliamentary ratification. The JM conducts annual compliance reviews and publishes findings to the NRS. Where the JM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JM publishes its assessment.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JM assessment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