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aramond" w:cs="Garamond" w:eastAsia="Garamond" w:hAnsi="Garamond"/>
          <w:b w:val="false"/>
          <w:bCs w:val="false"/>
          <w:color w:val="1B2A4A"/>
          <w:sz w:val="52"/>
          <w:szCs w:val="52"/>
        </w:rPr>
        <w:t xml:space="preserve">THE FEDERATED REPUBLIC</w:t>
      </w:r>
    </w:p>
    <w:p>
      <w:pPr>
        <w:pBdr>
          <w:bottom w:val="single" w:color="C9A84C" w:sz="4" w:space="8"/>
        </w:pBdr>
        <w:spacing w:after="120" w:before="0"/>
        <w:jc w:val="center"/>
      </w:pPr>
      <w:r>
        <w:rPr>
          <w:rFonts w:ascii="Garamond" w:cs="Garamond" w:eastAsia="Garamond" w:hAnsi="Garamond"/>
          <w:b w:val="false"/>
          <w:bCs w:val="false"/>
          <w:color w:val="C9A84C"/>
          <w:sz w:val="36"/>
          <w:szCs w:val="36"/>
        </w:rPr>
        <w:t xml:space="preserve">CONSTITUTION</w:t>
      </w:r>
    </w:p>
    <w:p>
      <w:pPr>
        <w:spacing w:after="0" w:before="240"/>
        <w:jc w:val="center"/>
      </w:pPr>
      <w:r>
        <w:rPr>
          <w:rFonts w:ascii="Garamond" w:cs="Garamond" w:eastAsia="Garamond" w:hAnsi="Garamond"/>
          <w:i/>
          <w:iCs/>
          <w:color w:val="7a7060"/>
          <w:sz w:val="22"/>
          <w:szCs w:val="22"/>
        </w:rPr>
        <w:t xml:space="preserve">177 Provisions · 20 Articles</w:t>
      </w:r>
    </w:p>
    <w:p>
      <w:pPr>
        <w:spacing w:after="0" w:before="60"/>
        <w:jc w:val="center"/>
      </w:pPr>
      <w:r>
        <w:rPr>
          <w:rFonts w:ascii="Garamond" w:cs="Garamond" w:eastAsia="Garamond" w:hAnsi="Garamond"/>
          <w:color w:val="7a7060"/>
          <w:sz w:val="18"/>
          <w:szCs w:val="18"/>
        </w:rPr>
        <w:t xml:space="preserve">thefederatedrepublic.org</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 — The Individual Sovereignty Floor</w:t>
      </w:r>
    </w:p>
    <w:p>
      <w:pPr>
        <w:spacing w:after="60" w:before="200"/>
        <w:ind w:left="431"/>
        <w:jc w:val="left"/>
      </w:pPr>
      <w:r>
        <w:rPr>
          <w:rFonts w:ascii="Courier New" w:cs="Courier New" w:eastAsia="Courier New" w:hAnsi="Courier New"/>
          <w:b/>
          <w:bCs/>
          <w:sz w:val="18"/>
          <w:szCs w:val="18"/>
        </w:rPr>
        <w:t xml:space="preserve">§1.1  </w:t>
      </w:r>
      <w:r>
        <w:rPr>
          <w:rFonts w:ascii="Garamond" w:cs="Garamond" w:eastAsia="Garamond" w:hAnsi="Garamond"/>
          <w:b w:val="false"/>
          <w:bCs w:val="false"/>
          <w:i/>
          <w:iCs/>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sz w:val="18"/>
          <w:szCs w:val="18"/>
        </w:rPr>
        <w:t xml:space="preserve">§1.2  </w:t>
      </w:r>
      <w:r>
        <w:rPr>
          <w:rFonts w:ascii="Garamond" w:cs="Garamond" w:eastAsia="Garamond" w:hAnsi="Garamond"/>
          <w:b w:val="false"/>
          <w:bCs w:val="false"/>
          <w:i/>
          <w:iCs/>
          <w:color w:val="1B2A4A"/>
          <w:sz w:val="22"/>
          <w:szCs w:val="22"/>
        </w:rPr>
        <w:t xml:space="preserve">Individual Sovereignty Floor</w:t>
      </w:r>
    </w:p>
    <w:p>
      <w:pPr>
        <w:spacing w:after="120" w:before="0"/>
        <w:ind w:left="431"/>
        <w:jc w:val="both"/>
      </w:pPr>
      <w:r>
        <w:rPr>
          <w:rFonts w:ascii="Garamond" w:cs="Garamond" w:eastAsia="Garamond" w:hAnsi="Garamond"/>
          <w:b w:val="false"/>
          <w:b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sz w:val="18"/>
          <w:szCs w:val="18"/>
        </w:rPr>
        <w:t xml:space="preserve">§1.3  </w:t>
      </w:r>
      <w:r>
        <w:rPr>
          <w:rFonts w:ascii="Garamond" w:cs="Garamond" w:eastAsia="Garamond" w:hAnsi="Garamond"/>
          <w:b w:val="false"/>
          <w:bCs w:val="false"/>
          <w:i/>
          <w:iCs/>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sz w:val="18"/>
          <w:szCs w:val="18"/>
        </w:rPr>
        <w:t xml:space="preserve">§1.4  </w:t>
      </w:r>
      <w:r>
        <w:rPr>
          <w:rFonts w:ascii="Garamond" w:cs="Garamond" w:eastAsia="Garamond" w:hAnsi="Garamond"/>
          <w:b w:val="false"/>
          <w:bCs w:val="false"/>
          <w:i/>
          <w:iCs/>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sz w:val="18"/>
          <w:szCs w:val="18"/>
        </w:rPr>
        <w:t xml:space="preserve">§1.5  </w:t>
      </w:r>
      <w:r>
        <w:rPr>
          <w:rFonts w:ascii="Garamond" w:cs="Garamond" w:eastAsia="Garamond" w:hAnsi="Garamond"/>
          <w:b w:val="false"/>
          <w:bCs w:val="false"/>
          <w:i/>
          <w:iCs/>
          <w:color w:val="1B2A4A"/>
          <w:sz w:val="22"/>
          <w:szCs w:val="22"/>
        </w:rPr>
        <w:t xml:space="preserve">Civil and Political Liberties</w:t>
      </w:r>
    </w:p>
    <w:p>
      <w:pPr>
        <w:spacing w:after="120" w:before="0"/>
        <w:ind w:left="431"/>
        <w:jc w:val="both"/>
      </w:pPr>
      <w:r>
        <w:rPr>
          <w:rFonts w:ascii="Garamond" w:cs="Garamond" w:eastAsia="Garamond" w:hAnsi="Garamond"/>
          <w:b w:val="false"/>
          <w:b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sz w:val="18"/>
          <w:szCs w:val="18"/>
        </w:rPr>
        <w:t xml:space="preserve">§1.6  </w:t>
      </w:r>
      <w:r>
        <w:rPr>
          <w:rFonts w:ascii="Garamond" w:cs="Garamond" w:eastAsia="Garamond" w:hAnsi="Garamond"/>
          <w:b w:val="false"/>
          <w:bCs w:val="false"/>
          <w:i/>
          <w:iCs/>
          <w:color w:val="1B2A4A"/>
          <w:sz w:val="22"/>
          <w:szCs w:val="22"/>
        </w:rPr>
        <w:t xml:space="preserve">Equality and Non-Discrimination</w:t>
      </w:r>
    </w:p>
    <w:p>
      <w:pPr>
        <w:spacing w:after="120" w:before="0"/>
        <w:ind w:left="431"/>
        <w:jc w:val="both"/>
      </w:pPr>
      <w:r>
        <w:rPr>
          <w:rFonts w:ascii="Garamond" w:cs="Garamond" w:eastAsia="Garamond" w:hAnsi="Garamond"/>
          <w:b w:val="false"/>
          <w:b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sz w:val="18"/>
          <w:szCs w:val="18"/>
        </w:rPr>
        <w:t xml:space="preserve">§1.7  </w:t>
      </w:r>
      <w:r>
        <w:rPr>
          <w:rFonts w:ascii="Garamond" w:cs="Garamond" w:eastAsia="Garamond" w:hAnsi="Garamond"/>
          <w:b w:val="false"/>
          <w:bCs w:val="false"/>
          <w:i/>
          <w:iCs/>
          <w:color w:val="1B2A4A"/>
          <w:sz w:val="22"/>
          <w:szCs w:val="22"/>
        </w:rPr>
        <w:t xml:space="preserve">Bodily Sovereignty and Medical Decisions</w:t>
      </w:r>
    </w:p>
    <w:p>
      <w:pPr>
        <w:spacing w:after="120" w:before="0"/>
        <w:ind w:left="431"/>
        <w:jc w:val="both"/>
      </w:pPr>
      <w:r>
        <w:rPr>
          <w:rFonts w:ascii="Garamond" w:cs="Garamond" w:eastAsia="Garamond" w:hAnsi="Garamond"/>
          <w:b w:val="false"/>
          <w:b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sz w:val="18"/>
          <w:szCs w:val="18"/>
        </w:rPr>
        <w:t xml:space="preserve">§1.7.a  </w:t>
      </w:r>
      <w:r>
        <w:rPr>
          <w:rFonts w:ascii="Garamond" w:cs="Garamond" w:eastAsia="Garamond" w:hAnsi="Garamond"/>
          <w:b w:val="false"/>
          <w:bCs w:val="false"/>
          <w:i/>
          <w:iCs/>
          <w:color w:val="1B2A4A"/>
          <w:sz w:val="22"/>
          <w:szCs w:val="22"/>
        </w:rPr>
        <w:t xml:space="preserve">Privacy and Surveillance</w:t>
      </w:r>
    </w:p>
    <w:p>
      <w:pPr>
        <w:spacing w:after="120" w:before="0"/>
        <w:ind w:left="431"/>
        <w:jc w:val="both"/>
      </w:pPr>
      <w:r>
        <w:rPr>
          <w:rFonts w:ascii="Garamond" w:cs="Garamond" w:eastAsia="Garamond" w:hAnsi="Garamond"/>
          <w:b w:val="false"/>
          <w:bCs w:val="false"/>
          <w:color w:val="2a2520"/>
          <w:sz w:val="22"/>
          <w:szCs w:val="22"/>
        </w:rPr>
        <w:t xml:space="preserve">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w:t>
      </w:r>
    </w:p>
    <w:p>
      <w:pPr>
        <w:spacing w:after="60" w:before="200"/>
        <w:ind w:left="431"/>
        <w:jc w:val="left"/>
      </w:pPr>
      <w:r>
        <w:rPr>
          <w:rFonts w:ascii="Courier New" w:cs="Courier New" w:eastAsia="Courier New" w:hAnsi="Courier New"/>
          <w:b/>
          <w:bCs/>
          <w:sz w:val="18"/>
          <w:szCs w:val="18"/>
        </w:rPr>
        <w:t xml:space="preserve">§1.8  </w:t>
      </w:r>
      <w:r>
        <w:rPr>
          <w:rFonts w:ascii="Garamond" w:cs="Garamond" w:eastAsia="Garamond" w:hAnsi="Garamond"/>
          <w:b w:val="false"/>
          <w:bCs w:val="false"/>
          <w:i/>
          <w:iCs/>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sz w:val="18"/>
          <w:szCs w:val="18"/>
        </w:rPr>
        <w:t xml:space="preserve">§1.9  </w:t>
      </w:r>
      <w:r>
        <w:rPr>
          <w:rFonts w:ascii="Garamond" w:cs="Garamond" w:eastAsia="Garamond" w:hAnsi="Garamond"/>
          <w:b w:val="false"/>
          <w:bCs w:val="false"/>
          <w:i/>
          <w:iCs/>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sz w:val="18"/>
          <w:szCs w:val="18"/>
        </w:rPr>
        <w:t xml:space="preserve">§1.10  </w:t>
      </w:r>
      <w:r>
        <w:rPr>
          <w:rFonts w:ascii="Garamond" w:cs="Garamond" w:eastAsia="Garamond" w:hAnsi="Garamond"/>
          <w:b w:val="false"/>
          <w:bCs w:val="false"/>
          <w:i/>
          <w:iCs/>
          <w:color w:val="1B2A4A"/>
          <w:sz w:val="22"/>
          <w:szCs w:val="22"/>
        </w:rPr>
        <w:t xml:space="preserve">Right to Bear Arms</w:t>
      </w:r>
    </w:p>
    <w:p>
      <w:pPr>
        <w:spacing w:after="120" w:before="0"/>
        <w:ind w:left="431"/>
        <w:jc w:val="both"/>
      </w:pPr>
      <w:r>
        <w:rPr>
          <w:rFonts w:ascii="Garamond" w:cs="Garamond" w:eastAsia="Garamond" w:hAnsi="Garamond"/>
          <w:b w:val="false"/>
          <w:bCs w:val="false"/>
          <w:color w:val="2a2520"/>
          <w:sz w:val="22"/>
          <w:szCs w:val="22"/>
        </w:rPr>
        <w:t xml:space="preserve">Every person holds the right to keep and bear arms for lawful purposes including self-defense. No government may enact a categorical prohibition on the civilian ownership of arms; no regulatory framework may make lawful ownership for self-defense effectively unavailable. The Legislature and States may regulate the type, transfer, and carry of arms, including through licensing and safety frameworks, within these limits.</w:t>
      </w:r>
    </w:p>
    <w:p>
      <w:pPr>
        <w:spacing w:after="60" w:before="200"/>
        <w:ind w:left="431"/>
        <w:jc w:val="left"/>
      </w:pPr>
      <w:r>
        <w:rPr>
          <w:rFonts w:ascii="Courier New" w:cs="Courier New" w:eastAsia="Courier New" w:hAnsi="Courier New"/>
          <w:b/>
          <w:bCs/>
          <w:sz w:val="18"/>
          <w:szCs w:val="18"/>
        </w:rPr>
        <w:t xml:space="preserve">§1.11  </w:t>
      </w:r>
      <w:r>
        <w:rPr>
          <w:rFonts w:ascii="Garamond" w:cs="Garamond" w:eastAsia="Garamond" w:hAnsi="Garamond"/>
          <w:b w:val="false"/>
          <w:bCs w:val="false"/>
          <w:i/>
          <w:iCs/>
          <w:color w:val="1B2A4A"/>
          <w:sz w:val="22"/>
          <w:szCs w:val="22"/>
        </w:rPr>
        <w:t xml:space="preserve">Habeas Corpus</w:t>
      </w:r>
    </w:p>
    <w:p>
      <w:pPr>
        <w:spacing w:after="120" w:before="0"/>
        <w:ind w:left="431"/>
        <w:jc w:val="both"/>
      </w:pPr>
      <w:r>
        <w:rPr>
          <w:rFonts w:ascii="Garamond" w:cs="Garamond" w:eastAsia="Garamond" w:hAnsi="Garamond"/>
          <w:b w:val="false"/>
          <w:bCs w:val="false"/>
          <w:color w:val="2a2520"/>
          <w:sz w:val="22"/>
          <w:szCs w:val="22"/>
        </w:rPr>
        <w:t xml:space="preserve">Every person detained by public authority has the right to challenge that detention before an independent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sz w:val="18"/>
          <w:szCs w:val="18"/>
        </w:rPr>
        <w:t xml:space="preserve">§1.12  </w:t>
      </w:r>
      <w:r>
        <w:rPr>
          <w:rFonts w:ascii="Garamond" w:cs="Garamond" w:eastAsia="Garamond" w:hAnsi="Garamond"/>
          <w:b w:val="false"/>
          <w:bCs w:val="false"/>
          <w:i/>
          <w:iCs/>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penalised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sz w:val="18"/>
          <w:szCs w:val="18"/>
        </w:rPr>
        <w:t xml:space="preserve">§1.13  </w:t>
      </w:r>
      <w:r>
        <w:rPr>
          <w:rFonts w:ascii="Garamond" w:cs="Garamond" w:eastAsia="Garamond" w:hAnsi="Garamond"/>
          <w:b w:val="false"/>
          <w:bCs w:val="false"/>
          <w:i/>
          <w:iCs/>
          <w:color w:val="1B2A4A"/>
          <w:sz w:val="22"/>
          <w:szCs w:val="22"/>
        </w:rPr>
        <w:t xml:space="preserve">Right to a Public Trial</w:t>
      </w:r>
    </w:p>
    <w:p>
      <w:pPr>
        <w:spacing w:after="120" w:before="0"/>
        <w:ind w:left="431"/>
        <w:jc w:val="both"/>
      </w:pPr>
      <w:r>
        <w:rPr>
          <w:rFonts w:ascii="Garamond" w:cs="Garamond" w:eastAsia="Garamond" w:hAnsi="Garamond"/>
          <w:b w:val="false"/>
          <w:bCs w:val="false"/>
          <w:color w:val="2a2520"/>
          <w:sz w:val="22"/>
          <w:szCs w:val="22"/>
        </w:rPr>
        <w:t xml:space="preserve">Every person accused of a criminal offense has the right to a public trial before an independent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sz w:val="18"/>
          <w:szCs w:val="18"/>
        </w:rPr>
        <w:t xml:space="preserve">§1.14  </w:t>
      </w:r>
      <w:r>
        <w:rPr>
          <w:rFonts w:ascii="Garamond" w:cs="Garamond" w:eastAsia="Garamond" w:hAnsi="Garamond"/>
          <w:b w:val="false"/>
          <w:bCs w:val="false"/>
          <w:i/>
          <w:iCs/>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sz w:val="18"/>
          <w:szCs w:val="18"/>
        </w:rPr>
        <w:t xml:space="preserve">§1.15  </w:t>
      </w:r>
      <w:r>
        <w:rPr>
          <w:rFonts w:ascii="Garamond" w:cs="Garamond" w:eastAsia="Garamond" w:hAnsi="Garamond"/>
          <w:b w:val="false"/>
          <w:bCs w:val="false"/>
          <w:i/>
          <w:iCs/>
          <w:color w:val="1B2A4A"/>
          <w:sz w:val="22"/>
          <w:szCs w:val="22"/>
        </w:rPr>
        <w:t xml:space="preserve">Double Jeopardy</w:t>
      </w:r>
    </w:p>
    <w:p>
      <w:pPr>
        <w:spacing w:after="120" w:before="0"/>
        <w:ind w:left="431"/>
        <w:jc w:val="both"/>
      </w:pPr>
      <w:r>
        <w:rPr>
          <w:rFonts w:ascii="Garamond" w:cs="Garamond" w:eastAsia="Garamond" w:hAnsi="Garamond"/>
          <w:b w:val="false"/>
          <w:bCs w:val="false"/>
          <w:color w:val="2a2520"/>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sz w:val="18"/>
          <w:szCs w:val="18"/>
        </w:rPr>
        <w:t xml:space="preserve">§1.16  </w:t>
      </w:r>
      <w:r>
        <w:rPr>
          <w:rFonts w:ascii="Garamond" w:cs="Garamond" w:eastAsia="Garamond" w:hAnsi="Garamond"/>
          <w:b w:val="false"/>
          <w:bCs w:val="false"/>
          <w:i/>
          <w:iCs/>
          <w:color w:val="1B2A4A"/>
          <w:sz w:val="22"/>
          <w:szCs w:val="22"/>
        </w:rPr>
        <w:t xml:space="preserve">Social Assistance Floor</w:t>
      </w:r>
    </w:p>
    <w:p>
      <w:pPr>
        <w:spacing w:after="120" w:before="0"/>
        <w:ind w:left="431"/>
        <w:jc w:val="both"/>
      </w:pPr>
      <w:r>
        <w:rPr>
          <w:rFonts w:ascii="Garamond" w:cs="Garamond" w:eastAsia="Garamond" w:hAnsi="Garamond"/>
          <w:b w:val="false"/>
          <w:b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sz w:val="18"/>
          <w:szCs w:val="18"/>
        </w:rPr>
        <w:t xml:space="preserve">§1.17  </w:t>
      </w:r>
      <w:r>
        <w:rPr>
          <w:rFonts w:ascii="Garamond" w:cs="Garamond" w:eastAsia="Garamond" w:hAnsi="Garamond"/>
          <w:b w:val="false"/>
          <w:bCs w:val="false"/>
          <w:i/>
          <w:iCs/>
          <w:color w:val="1B2A4A"/>
          <w:sz w:val="22"/>
          <w:szCs w:val="22"/>
        </w:rPr>
        <w:t xml:space="preserve">Education</w:t>
      </w:r>
    </w:p>
    <w:p>
      <w:pPr>
        <w:spacing w:after="120" w:before="0"/>
        <w:ind w:left="431"/>
        <w:jc w:val="both"/>
      </w:pPr>
      <w:r>
        <w:rPr>
          <w:rFonts w:ascii="Garamond" w:cs="Garamond" w:eastAsia="Garamond" w:hAnsi="Garamond"/>
          <w:b w:val="false"/>
          <w:b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sz w:val="18"/>
          <w:szCs w:val="18"/>
        </w:rPr>
        <w:t xml:space="preserve">§1.18  </w:t>
      </w:r>
      <w:r>
        <w:rPr>
          <w:rFonts w:ascii="Garamond" w:cs="Garamond" w:eastAsia="Garamond" w:hAnsi="Garamond"/>
          <w:b w:val="false"/>
          <w:bCs w:val="false"/>
          <w:i/>
          <w:iCs/>
          <w:color w:val="1B2A4A"/>
          <w:sz w:val="22"/>
          <w:szCs w:val="22"/>
        </w:rPr>
        <w:t xml:space="preserve">Environmental Obligations</w:t>
      </w:r>
    </w:p>
    <w:p>
      <w:pPr>
        <w:spacing w:after="120" w:before="0"/>
        <w:ind w:left="431"/>
        <w:jc w:val="both"/>
      </w:pPr>
      <w:r>
        <w:rPr>
          <w:rFonts w:ascii="Garamond" w:cs="Garamond" w:eastAsia="Garamond" w:hAnsi="Garamond"/>
          <w:b w:val="false"/>
          <w:b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sz w:val="18"/>
          <w:szCs w:val="18"/>
        </w:rPr>
        <w:t xml:space="preserve">§1.19  </w:t>
      </w:r>
      <w:r>
        <w:rPr>
          <w:rFonts w:ascii="Garamond" w:cs="Garamond" w:eastAsia="Garamond" w:hAnsi="Garamond"/>
          <w:b w:val="false"/>
          <w:bCs w:val="false"/>
          <w:i/>
          <w:iCs/>
          <w:color w:val="1B2A4A"/>
          <w:sz w:val="22"/>
          <w:szCs w:val="22"/>
        </w:rPr>
        <w:t xml:space="preserve">Emergency Derogation</w:t>
      </w:r>
    </w:p>
    <w:p>
      <w:pPr>
        <w:spacing w:after="120" w:before="0"/>
        <w:ind w:left="431"/>
        <w:jc w:val="both"/>
      </w:pPr>
      <w:r>
        <w:rPr>
          <w:rFonts w:ascii="Garamond" w:cs="Garamond" w:eastAsia="Garamond" w:hAnsi="Garamond"/>
          <w:b w:val="false"/>
          <w:b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sz w:val="18"/>
          <w:szCs w:val="18"/>
        </w:rPr>
        <w:t xml:space="preserve">§1.19.a  </w:t>
      </w:r>
      <w:r>
        <w:rPr>
          <w:rFonts w:ascii="Garamond" w:cs="Garamond" w:eastAsia="Garamond" w:hAnsi="Garamond"/>
          <w:b w:val="false"/>
          <w:bCs w:val="false"/>
          <w:i/>
          <w:iCs/>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sz w:val="18"/>
          <w:szCs w:val="18"/>
        </w:rPr>
        <w:t xml:space="preserve">§1.19.b  </w:t>
      </w:r>
      <w:r>
        <w:rPr>
          <w:rFonts w:ascii="Garamond" w:cs="Garamond" w:eastAsia="Garamond" w:hAnsi="Garamond"/>
          <w:b w:val="false"/>
          <w:bCs w:val="false"/>
          <w:i/>
          <w:iCs/>
          <w:color w:val="1B2A4A"/>
          <w:sz w:val="22"/>
          <w:szCs w:val="22"/>
        </w:rPr>
        <w:t xml:space="preserve">Non-Derogable Rights</w:t>
      </w:r>
    </w:p>
    <w:p>
      <w:pPr>
        <w:spacing w:after="120" w:before="0"/>
        <w:ind w:left="431"/>
        <w:jc w:val="both"/>
      </w:pPr>
      <w:r>
        <w:rPr>
          <w:rFonts w:ascii="Garamond" w:cs="Garamond" w:eastAsia="Garamond" w:hAnsi="Garamond"/>
          <w:b w:val="false"/>
          <w:b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w:t>
      </w:r>
    </w:p>
    <w:p>
      <w:pPr>
        <w:spacing w:after="60" w:before="200"/>
        <w:ind w:left="431"/>
        <w:jc w:val="left"/>
      </w:pPr>
      <w:r>
        <w:rPr>
          <w:rFonts w:ascii="Courier New" w:cs="Courier New" w:eastAsia="Courier New" w:hAnsi="Courier New"/>
          <w:b/>
          <w:bCs/>
          <w:sz w:val="18"/>
          <w:szCs w:val="18"/>
        </w:rPr>
        <w:t xml:space="preserve">§1.19.c  </w:t>
      </w:r>
      <w:r>
        <w:rPr>
          <w:rFonts w:ascii="Garamond" w:cs="Garamond" w:eastAsia="Garamond" w:hAnsi="Garamond"/>
          <w:b w:val="false"/>
          <w:bCs w:val="false"/>
          <w:i/>
          <w:iCs/>
          <w:color w:val="1B2A4A"/>
          <w:sz w:val="22"/>
          <w:szCs w:val="22"/>
        </w:rPr>
        <w:t xml:space="preserve">Monitor Continuity</w:t>
      </w:r>
    </w:p>
    <w:p>
      <w:pPr>
        <w:spacing w:after="120" w:before="0"/>
        <w:ind w:left="431"/>
        <w:jc w:val="both"/>
      </w:pPr>
      <w:r>
        <w:rPr>
          <w:rFonts w:ascii="Garamond" w:cs="Garamond" w:eastAsia="Garamond" w:hAnsi="Garamond"/>
          <w:b w:val="false"/>
          <w:b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sz w:val="18"/>
          <w:szCs w:val="18"/>
        </w:rPr>
        <w:t xml:space="preserve">§1.19.d  </w:t>
      </w:r>
      <w:r>
        <w:rPr>
          <w:rFonts w:ascii="Garamond" w:cs="Garamond" w:eastAsia="Garamond" w:hAnsi="Garamond"/>
          <w:b w:val="false"/>
          <w:bCs w:val="false"/>
          <w:i/>
          <w:iCs/>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color w:val="2a2520"/>
          <w:sz w:val="22"/>
          <w:szCs w:val="22"/>
        </w:rPr>
        <w:t xml:space="preserve">Emergency measures lapse automatically at the expiry of the Declaration. The Legislature may, before a Declaration expires, extend it for one additional period not to exceed 60 days by 2/3 of full seated membership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sz w:val="18"/>
          <w:szCs w:val="18"/>
        </w:rPr>
        <w:t xml:space="preserve">§1.19.e  </w:t>
      </w:r>
      <w:r>
        <w:rPr>
          <w:rFonts w:ascii="Garamond" w:cs="Garamond" w:eastAsia="Garamond" w:hAnsi="Garamond"/>
          <w:b w:val="false"/>
          <w:bCs w:val="false"/>
          <w:i/>
          <w:iCs/>
          <w:color w:val="1B2A4A"/>
          <w:sz w:val="22"/>
          <w:szCs w:val="22"/>
        </w:rPr>
        <w:t xml:space="preserve">No Permanent Emergency</w:t>
      </w:r>
    </w:p>
    <w:p>
      <w:pPr>
        <w:spacing w:after="120" w:before="0"/>
        <w:ind w:left="431"/>
        <w:jc w:val="both"/>
      </w:pPr>
      <w:r>
        <w:rPr>
          <w:rFonts w:ascii="Garamond" w:cs="Garamond" w:eastAsia="Garamond" w:hAnsi="Garamond"/>
          <w:b w:val="false"/>
          <w:b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vote of full seated membership of both chambers certifying continued necessity.</w:t>
      </w:r>
    </w:p>
    <w:p>
      <w:pPr>
        <w:spacing w:after="60" w:before="200"/>
        <w:ind w:left="431"/>
        <w:jc w:val="left"/>
      </w:pPr>
      <w:r>
        <w:rPr>
          <w:rFonts w:ascii="Courier New" w:cs="Courier New" w:eastAsia="Courier New" w:hAnsi="Courier New"/>
          <w:b/>
          <w:bCs/>
          <w:sz w:val="18"/>
          <w:szCs w:val="18"/>
        </w:rPr>
        <w:t xml:space="preserve">§1.19.f  </w:t>
      </w:r>
      <w:r>
        <w:rPr>
          <w:rFonts w:ascii="Garamond" w:cs="Garamond" w:eastAsia="Garamond" w:hAnsi="Garamond"/>
          <w:b w:val="false"/>
          <w:bCs w:val="false"/>
          <w:i/>
          <w:iCs/>
          <w:color w:val="1B2A4A"/>
          <w:sz w:val="22"/>
          <w:szCs w:val="22"/>
        </w:rPr>
        <w:t xml:space="preserve">Non-Discrimination in Emergency Measures</w:t>
      </w:r>
    </w:p>
    <w:p>
      <w:pPr>
        <w:spacing w:after="120" w:before="0"/>
        <w:ind w:left="431"/>
        <w:jc w:val="both"/>
      </w:pPr>
      <w:r>
        <w:rPr>
          <w:rFonts w:ascii="Garamond" w:cs="Garamond" w:eastAsia="Garamond" w:hAnsi="Garamond"/>
          <w:b w:val="false"/>
          <w:bCs w:val="false"/>
          <w:color w:val="2a2520"/>
          <w:sz w:val="22"/>
          <w:szCs w:val="22"/>
        </w:rPr>
        <w:t xml:space="preserve">No emergency measure, regardless of its stated purpose, may be applied in a discriminatory manner on the basis of race, ethnicity, religion, or national origin; any such application is constitutionally void. This prohibition applies to the implementation of any emergency measure and is not subject to derogation under any emergency declaration.</w:t>
      </w:r>
    </w:p>
    <w:p>
      <w:pPr>
        <w:spacing w:after="60" w:before="200"/>
        <w:ind w:left="431"/>
        <w:jc w:val="left"/>
      </w:pPr>
      <w:r>
        <w:rPr>
          <w:rFonts w:ascii="Courier New" w:cs="Courier New" w:eastAsia="Courier New" w:hAnsi="Courier New"/>
          <w:b/>
          <w:bCs/>
          <w:sz w:val="18"/>
          <w:szCs w:val="18"/>
        </w:rPr>
        <w:t xml:space="preserve">§1.20  </w:t>
      </w:r>
      <w:r>
        <w:rPr>
          <w:rFonts w:ascii="Garamond" w:cs="Garamond" w:eastAsia="Garamond" w:hAnsi="Garamond"/>
          <w:b w:val="false"/>
          <w:bCs w:val="false"/>
          <w:i/>
          <w:iCs/>
          <w:color w:val="1B2A4A"/>
          <w:sz w:val="22"/>
          <w:szCs w:val="22"/>
        </w:rPr>
        <w:t xml:space="preserve">Right to Seek Asylum</w:t>
      </w:r>
    </w:p>
    <w:p>
      <w:pPr>
        <w:spacing w:after="120" w:before="0"/>
        <w:ind w:left="431"/>
        <w:jc w:val="both"/>
      </w:pPr>
      <w:r>
        <w:rPr>
          <w:rFonts w:ascii="Garamond" w:cs="Garamond" w:eastAsia="Garamond" w:hAnsi="Garamond"/>
          <w:b w:val="false"/>
          <w:b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sz w:val="18"/>
          <w:szCs w:val="18"/>
        </w:rPr>
        <w:t xml:space="preserve">§1.21  </w:t>
      </w:r>
      <w:r>
        <w:rPr>
          <w:rFonts w:ascii="Garamond" w:cs="Garamond" w:eastAsia="Garamond" w:hAnsi="Garamond"/>
          <w:b w:val="false"/>
          <w:bCs w:val="false"/>
          <w:i/>
          <w:iCs/>
          <w:color w:val="1B2A4A"/>
          <w:sz w:val="22"/>
          <w:szCs w:val="22"/>
        </w:rPr>
        <w:t xml:space="preserve">Non-Refoulement</w:t>
      </w:r>
    </w:p>
    <w:p>
      <w:pPr>
        <w:spacing w:after="120" w:before="0"/>
        <w:ind w:left="431"/>
        <w:jc w:val="both"/>
      </w:pPr>
      <w:r>
        <w:rPr>
          <w:rFonts w:ascii="Garamond" w:cs="Garamond" w:eastAsia="Garamond" w:hAnsi="Garamond"/>
          <w:b w:val="false"/>
          <w:b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 **Article II — The Dual Executive**</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sz w:val="18"/>
          <w:szCs w:val="18"/>
        </w:rPr>
        <w:t xml:space="preserve">§2.1  </w:t>
      </w:r>
      <w:r>
        <w:rPr>
          <w:rFonts w:ascii="Garamond" w:cs="Garamond" w:eastAsia="Garamond" w:hAnsi="Garamond"/>
          <w:b w:val="false"/>
          <w:bCs w:val="false"/>
          <w:i/>
          <w:iCs/>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w:t>
      </w:r>
    </w:p>
    <w:p>
      <w:pPr>
        <w:spacing w:after="60" w:before="200"/>
        <w:ind w:left="431"/>
        <w:jc w:val="left"/>
      </w:pPr>
      <w:r>
        <w:rPr>
          <w:rFonts w:ascii="Courier New" w:cs="Courier New" w:eastAsia="Courier New" w:hAnsi="Courier New"/>
          <w:b/>
          <w:bCs/>
          <w:sz w:val="18"/>
          <w:szCs w:val="18"/>
        </w:rPr>
        <w:t xml:space="preserve">§2.2  </w:t>
      </w:r>
      <w:r>
        <w:rPr>
          <w:rFonts w:ascii="Garamond" w:cs="Garamond" w:eastAsia="Garamond" w:hAnsi="Garamond"/>
          <w:b w:val="false"/>
          <w:bCs w:val="false"/>
          <w:i/>
          <w:iCs/>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requires Civic Consul certification throughout; expenditure without Civic Consul certification is void. All military operations must state and be consistent with an authorized purpose under §14.1.</w:t>
      </w:r>
    </w:p>
    <w:p>
      <w:pPr>
        <w:spacing w:after="60" w:before="200"/>
        <w:ind w:left="431"/>
        <w:jc w:val="left"/>
      </w:pPr>
      <w:r>
        <w:rPr>
          <w:rFonts w:ascii="Courier New" w:cs="Courier New" w:eastAsia="Courier New" w:hAnsi="Courier New"/>
          <w:b/>
          <w:bCs/>
          <w:sz w:val="18"/>
          <w:szCs w:val="18"/>
        </w:rPr>
        <w:t xml:space="preserve">§2.3  </w:t>
      </w:r>
      <w:r>
        <w:rPr>
          <w:rFonts w:ascii="Garamond" w:cs="Garamond" w:eastAsia="Garamond" w:hAnsi="Garamond"/>
          <w:b w:val="false"/>
          <w:bCs w:val="false"/>
          <w:i/>
          <w:iCs/>
          <w:color w:val="1B2A4A"/>
          <w:sz w:val="22"/>
          <w:szCs w:val="22"/>
        </w:rPr>
        <w:t xml:space="preserve">Consular Intelligence</w:t>
      </w:r>
    </w:p>
    <w:p>
      <w:pPr>
        <w:spacing w:after="120" w:before="0"/>
        <w:ind w:left="431"/>
        <w:jc w:val="both"/>
      </w:pPr>
      <w:r>
        <w:rPr>
          <w:rFonts w:ascii="Garamond" w:cs="Garamond" w:eastAsia="Garamond" w:hAnsi="Garamond"/>
          <w:b w:val="false"/>
          <w:b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w:t>
      </w:r>
    </w:p>
    <w:p>
      <w:pPr>
        <w:spacing w:after="60" w:before="200"/>
        <w:ind w:left="431"/>
        <w:jc w:val="left"/>
      </w:pPr>
      <w:r>
        <w:rPr>
          <w:rFonts w:ascii="Courier New" w:cs="Courier New" w:eastAsia="Courier New" w:hAnsi="Courier New"/>
          <w:b/>
          <w:bCs/>
          <w:sz w:val="18"/>
          <w:szCs w:val="18"/>
        </w:rPr>
        <w:t xml:space="preserve">§2.3.a  </w:t>
      </w:r>
      <w:r>
        <w:rPr>
          <w:rFonts w:ascii="Garamond" w:cs="Garamond" w:eastAsia="Garamond" w:hAnsi="Garamond"/>
          <w:b w:val="false"/>
          <w:bCs w:val="false"/>
          <w:i/>
          <w:iCs/>
          <w:color w:val="1B2A4A"/>
          <w:sz w:val="22"/>
          <w:szCs w:val="22"/>
        </w:rPr>
        <w:t xml:space="preserve">Legat Consul Legislative Veto</w:t>
      </w:r>
    </w:p>
    <w:p>
      <w:pPr>
        <w:spacing w:after="120" w:before="0"/>
        <w:ind w:left="431"/>
        <w:jc w:val="both"/>
      </w:pPr>
      <w:r>
        <w:rPr>
          <w:rFonts w:ascii="Garamond" w:cs="Garamond" w:eastAsia="Garamond" w:hAnsi="Garamond"/>
          <w:b w:val="false"/>
          <w:bCs w:val="false"/>
          <w:color w:val="2a2520"/>
          <w:sz w:val="22"/>
          <w:szCs w:val="22"/>
        </w:rPr>
        <w:t xml:space="preserve">The Legat Consul may veto legislation that raises a genuine constitutional concern within the Legat Consul's security domain — military operations, intelligence, treaty obligations, or border security. A general or speculative security connection is insufficient. Either Speaker may petition the SC for an expedited domain determination of any disputed veto; the SC must rule within the period defined by statute, not to exceed 14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sz w:val="18"/>
          <w:szCs w:val="18"/>
        </w:rPr>
        <w:t xml:space="preserve">§2.4  </w:t>
      </w:r>
      <w:r>
        <w:rPr>
          <w:rFonts w:ascii="Garamond" w:cs="Garamond" w:eastAsia="Garamond" w:hAnsi="Garamond"/>
          <w:b w:val="false"/>
          <w:bCs w:val="false"/>
          <w:i/>
          <w:iCs/>
          <w:color w:val="1B2A4A"/>
          <w:sz w:val="22"/>
          <w:szCs w:val="22"/>
        </w:rPr>
        <w:t xml:space="preserve">Consular Domain Operations</w:t>
      </w:r>
    </w:p>
    <w:p>
      <w:pPr>
        <w:spacing w:after="120" w:before="0"/>
        <w:ind w:left="431"/>
        <w:jc w:val="both"/>
      </w:pPr>
      <w:r>
        <w:rPr>
          <w:rFonts w:ascii="Garamond" w:cs="Garamond" w:eastAsia="Garamond" w:hAnsi="Garamond"/>
          <w:b w:val="false"/>
          <w:b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sz w:val="18"/>
          <w:szCs w:val="18"/>
        </w:rPr>
        <w:t xml:space="preserve">§2.5  </w:t>
      </w:r>
      <w:r>
        <w:rPr>
          <w:rFonts w:ascii="Garamond" w:cs="Garamond" w:eastAsia="Garamond" w:hAnsi="Garamond"/>
          <w:b w:val="false"/>
          <w:bCs w:val="false"/>
          <w:i/>
          <w:iCs/>
          <w:color w:val="1B2A4A"/>
          <w:sz w:val="22"/>
          <w:szCs w:val="22"/>
        </w:rPr>
        <w:t xml:space="preserve">The Civic Consul — Domestic Executive Domain</w:t>
      </w:r>
    </w:p>
    <w:p>
      <w:pPr>
        <w:spacing w:after="120" w:before="0"/>
        <w:ind w:left="431"/>
        <w:jc w:val="both"/>
      </w:pPr>
      <w:r>
        <w:rPr>
          <w:rFonts w:ascii="Garamond" w:cs="Garamond" w:eastAsia="Garamond" w:hAnsi="Garamond"/>
          <w:b w:val="false"/>
          <w:b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answers to the Assembly through the confidence mechanism and does not require consular confirmation for the exercise of the domestic domain. The Civic Consul's domestic authority includes: all domestic policy and regulatory frameworks; the annual budget, which must originate with the Civic Consul and pass the Assembly; certification of military expenditure;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national security matters that bear on domestic interests; no classification may be used to withhold such information from the Civic Consul where it affects the exercise of the domestic domain.</w:t>
      </w:r>
    </w:p>
    <w:p>
      <w:pPr>
        <w:spacing w:after="60" w:before="200"/>
        <w:ind w:left="431"/>
        <w:jc w:val="left"/>
      </w:pPr>
      <w:r>
        <w:rPr>
          <w:rFonts w:ascii="Courier New" w:cs="Courier New" w:eastAsia="Courier New" w:hAnsi="Courier New"/>
          <w:b/>
          <w:bCs/>
          <w:sz w:val="18"/>
          <w:szCs w:val="18"/>
        </w:rPr>
        <w:t xml:space="preserve">§2.6  </w:t>
      </w:r>
      <w:r>
        <w:rPr>
          <w:rFonts w:ascii="Garamond" w:cs="Garamond" w:eastAsia="Garamond" w:hAnsi="Garamond"/>
          <w:b w:val="false"/>
          <w:bCs w:val="false"/>
          <w:i/>
          <w:iCs/>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 No person may serve more than 8 years in total as Civic Consul across all periods of service; this limit is cumulative and permanent regardless of interruption.</w:t>
      </w:r>
    </w:p>
    <w:p>
      <w:pPr>
        <w:spacing w:after="60" w:before="200"/>
        <w:ind w:left="431"/>
        <w:jc w:val="left"/>
      </w:pPr>
      <w:r>
        <w:rPr>
          <w:rFonts w:ascii="Courier New" w:cs="Courier New" w:eastAsia="Courier New" w:hAnsi="Courier New"/>
          <w:b/>
          <w:bCs/>
          <w:sz w:val="18"/>
          <w:szCs w:val="18"/>
        </w:rPr>
        <w:t xml:space="preserve">§2.6.a  </w:t>
      </w:r>
      <w:r>
        <w:rPr>
          <w:rFonts w:ascii="Garamond" w:cs="Garamond" w:eastAsia="Garamond" w:hAnsi="Garamond"/>
          <w:b w:val="false"/>
          <w:bCs w:val="false"/>
          <w:i/>
          <w:iCs/>
          <w:color w:val="1B2A4A"/>
          <w:sz w:val="22"/>
          <w:szCs w:val="22"/>
        </w:rPr>
        <w:t xml:space="preserve">Government Formation</w:t>
      </w:r>
    </w:p>
    <w:p>
      <w:pPr>
        <w:spacing w:after="120" w:before="0"/>
        <w:ind w:left="431"/>
        <w:jc w:val="both"/>
      </w:pPr>
      <w:r>
        <w:rPr>
          <w:rFonts w:ascii="Garamond" w:cs="Garamond" w:eastAsia="Garamond" w:hAnsi="Garamond"/>
          <w:b w:val="false"/>
          <w:bCs w:val="false"/>
          <w:color w:val="2a2520"/>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Civic Consul designates a serving Assembly member; the designation is published to the NRS and confirmed by the LM. The Senate may, by 2/3 of full seated Senate membership, designate a serving Assembly member as Civic Consul if the Assembly has failed to elect one within the statutory period; Assembly election of a Civic Consul by absolute majority terminates any Senate designation. Where no Civic Consul has been elected by absolute majority and the Senate has not designated a Civic Consul within 45 days of the Assembly failing to elect one within the statutory period, the Elections Panel administers a public dissolution referendum; the question is whether the people wish to dissolve the Assembly and hold a new election; the referendum is administered with a minimum 30-day campaign window; a simple majority decides. If the Assembly elects a Civic Consul by absolute majority at any point before the dissolution vote is certified, the referendum is moot and concludes without effect. Where the dissolution vote passes, dissolution takes effect from the moment of Elections Panel certification and is published to the NRS; a new Assembly general election follows under the ordinary electoral process; the Acting mechanism continues until the new Assembly elects a Civic Consul.</w:t>
      </w:r>
    </w:p>
    <w:p>
      <w:pPr>
        <w:spacing w:after="60" w:before="200"/>
        <w:ind w:left="431"/>
        <w:jc w:val="left"/>
      </w:pPr>
      <w:r>
        <w:rPr>
          <w:rFonts w:ascii="Courier New" w:cs="Courier New" w:eastAsia="Courier New" w:hAnsi="Courier New"/>
          <w:b/>
          <w:bCs/>
          <w:sz w:val="18"/>
          <w:szCs w:val="18"/>
        </w:rPr>
        <w:t xml:space="preserve">§2.6.b  </w:t>
      </w:r>
      <w:r>
        <w:rPr>
          <w:rFonts w:ascii="Garamond" w:cs="Garamond" w:eastAsia="Garamond" w:hAnsi="Garamond"/>
          <w:b w:val="false"/>
          <w:bCs w:val="false"/>
          <w:i/>
          <w:iCs/>
          <w:color w:val="1B2A4A"/>
          <w:sz w:val="22"/>
          <w:szCs w:val="22"/>
        </w:rPr>
        <w:t xml:space="preserve">Temporary Incapacity</w:t>
      </w:r>
    </w:p>
    <w:p>
      <w:pPr>
        <w:spacing w:after="120" w:before="0"/>
        <w:ind w:left="431"/>
        <w:jc w:val="both"/>
      </w:pPr>
      <w:r>
        <w:rPr>
          <w:rFonts w:ascii="Garamond" w:cs="Garamond" w:eastAsia="Garamond" w:hAnsi="Garamond"/>
          <w:b w:val="false"/>
          <w:bCs w:val="false"/>
          <w:color w:val="2a2520"/>
          <w:sz w:val="22"/>
          <w:szCs w:val="22"/>
        </w:rPr>
        <w:t xml:space="preserve">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sz w:val="18"/>
          <w:szCs w:val="18"/>
        </w:rPr>
        <w:t xml:space="preserve">§2.7  </w:t>
      </w:r>
      <w:r>
        <w:rPr>
          <w:rFonts w:ascii="Garamond" w:cs="Garamond" w:eastAsia="Garamond" w:hAnsi="Garamond"/>
          <w:b w:val="false"/>
          <w:bCs w:val="false"/>
          <w:i/>
          <w:iCs/>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full seated membership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A solvency objection requires an MA assessment; the Assembly may override by simple majority after receiving the assessment.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sz w:val="18"/>
          <w:szCs w:val="18"/>
        </w:rPr>
        <w:t xml:space="preserve">§2.8  </w:t>
      </w:r>
      <w:r>
        <w:rPr>
          <w:rFonts w:ascii="Garamond" w:cs="Garamond" w:eastAsia="Garamond" w:hAnsi="Garamond"/>
          <w:b w:val="false"/>
          <w:bCs w:val="false"/>
          <w:i/>
          <w:iCs/>
          <w:color w:val="1B2A4A"/>
          <w:sz w:val="22"/>
          <w:szCs w:val="22"/>
        </w:rPr>
        <w:t xml:space="preserve">Duty of Refusal</w:t>
      </w:r>
    </w:p>
    <w:p>
      <w:pPr>
        <w:spacing w:after="120" w:before="0"/>
        <w:ind w:left="431"/>
        <w:jc w:val="both"/>
      </w:pPr>
      <w:r>
        <w:rPr>
          <w:rFonts w:ascii="Garamond" w:cs="Garamond" w:eastAsia="Garamond" w:hAnsi="Garamond"/>
          <w:b w:val="false"/>
          <w:b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sz w:val="18"/>
          <w:szCs w:val="18"/>
        </w:rPr>
        <w:t xml:space="preserve">§2.9  </w:t>
      </w:r>
      <w:r>
        <w:rPr>
          <w:rFonts w:ascii="Garamond" w:cs="Garamond" w:eastAsia="Garamond" w:hAnsi="Garamond"/>
          <w:b w:val="false"/>
          <w:bCs w:val="false"/>
          <w:i/>
          <w:iCs/>
          <w:color w:val="1B2A4A"/>
          <w:sz w:val="22"/>
          <w:szCs w:val="22"/>
        </w:rPr>
        <w:t xml:space="preserve">Consular Succession and Incapacity</w:t>
      </w:r>
    </w:p>
    <w:p>
      <w:pPr>
        <w:spacing w:after="120" w:before="0"/>
        <w:ind w:left="431"/>
        <w:jc w:val="both"/>
      </w:pPr>
      <w:r>
        <w:rPr>
          <w:rFonts w:ascii="Garamond" w:cs="Garamond" w:eastAsia="Garamond" w:hAnsi="Garamond"/>
          <w:b w:val="false"/>
          <w:bCs w:val="false"/>
          <w:color w:val="2a2520"/>
          <w:sz w:val="22"/>
          <w:szCs w:val="22"/>
        </w:rPr>
        <w:t xml:space="preserve">Full succession activates on Consular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the EM and LM jointly assess capacity and, on joint assessment published to the NRS, Acting Consular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sz w:val="18"/>
          <w:szCs w:val="18"/>
        </w:rPr>
        <w:t xml:space="preserve">§2.10  </w:t>
      </w:r>
      <w:r>
        <w:rPr>
          <w:rFonts w:ascii="Garamond" w:cs="Garamond" w:eastAsia="Garamond" w:hAnsi="Garamond"/>
          <w:b w:val="false"/>
          <w:bCs w:val="false"/>
          <w:i/>
          <w:iCs/>
          <w:color w:val="1B2A4A"/>
          <w:sz w:val="22"/>
          <w:szCs w:val="22"/>
        </w:rPr>
        <w:t xml:space="preserve">Executive Transparency</w:t>
      </w:r>
    </w:p>
    <w:p>
      <w:pPr>
        <w:spacing w:after="120" w:before="0"/>
        <w:ind w:left="431"/>
        <w:jc w:val="both"/>
      </w:pPr>
      <w:r>
        <w:rPr>
          <w:rFonts w:ascii="Garamond" w:cs="Garamond" w:eastAsia="Garamond" w:hAnsi="Garamond"/>
          <w:b w:val="false"/>
          <w:b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sz w:val="18"/>
          <w:szCs w:val="18"/>
        </w:rPr>
        <w:t xml:space="preserve">§2.11  </w:t>
      </w:r>
      <w:r>
        <w:rPr>
          <w:rFonts w:ascii="Garamond" w:cs="Garamond" w:eastAsia="Garamond" w:hAnsi="Garamond"/>
          <w:b w:val="false"/>
          <w:bCs w:val="false"/>
          <w:i/>
          <w:iCs/>
          <w:color w:val="1B2A4A"/>
          <w:sz w:val="22"/>
          <w:szCs w:val="22"/>
        </w:rPr>
        <w:t xml:space="preserve">Emergency Governance</w:t>
      </w:r>
    </w:p>
    <w:p>
      <w:pPr>
        <w:spacing w:after="120" w:before="0"/>
        <w:ind w:left="431"/>
        <w:jc w:val="both"/>
      </w:pPr>
      <w:r>
        <w:rPr>
          <w:rFonts w:ascii="Garamond" w:cs="Garamond" w:eastAsia="Garamond" w:hAnsi="Garamond"/>
          <w:b w:val="false"/>
          <w:b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sz w:val="18"/>
          <w:szCs w:val="18"/>
        </w:rPr>
        <w:t xml:space="preserve">§2.12  </w:t>
      </w:r>
      <w:r>
        <w:rPr>
          <w:rFonts w:ascii="Garamond" w:cs="Garamond" w:eastAsia="Garamond" w:hAnsi="Garamond"/>
          <w:b w:val="false"/>
          <w:bCs w:val="false"/>
          <w:i/>
          <w:iCs/>
          <w:color w:val="1B2A4A"/>
          <w:sz w:val="22"/>
          <w:szCs w:val="22"/>
        </w:rPr>
        <w:t xml:space="preserve">Clemency</w:t>
      </w:r>
    </w:p>
    <w:p>
      <w:pPr>
        <w:spacing w:after="120" w:before="0"/>
        <w:ind w:left="431"/>
        <w:jc w:val="both"/>
      </w:pPr>
      <w:r>
        <w:rPr>
          <w:rFonts w:ascii="Garamond" w:cs="Garamond" w:eastAsia="Garamond" w:hAnsi="Garamond"/>
          <w:b w:val="false"/>
          <w:b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w:t>
      </w:r>
    </w:p>
    <w:p>
      <w:pPr>
        <w:spacing w:after="60" w:before="200"/>
        <w:ind w:left="431"/>
        <w:jc w:val="left"/>
      </w:pPr>
      <w:r>
        <w:rPr>
          <w:rFonts w:ascii="Courier New" w:cs="Courier New" w:eastAsia="Courier New" w:hAnsi="Courier New"/>
          <w:b/>
          <w:bCs/>
          <w:sz w:val="18"/>
          <w:szCs w:val="18"/>
        </w:rPr>
        <w:t xml:space="preserve">§2.13  </w:t>
      </w:r>
      <w:r>
        <w:rPr>
          <w:rFonts w:ascii="Garamond" w:cs="Garamond" w:eastAsia="Garamond" w:hAnsi="Garamond"/>
          <w:b w:val="false"/>
          <w:bCs w:val="false"/>
          <w:i/>
          <w:iCs/>
          <w:color w:val="1B2A4A"/>
          <w:sz w:val="22"/>
          <w:szCs w:val="22"/>
        </w:rPr>
        <w:t xml:space="preserve">Consular Removal</w:t>
      </w:r>
    </w:p>
    <w:p>
      <w:pPr>
        <w:spacing w:after="120" w:before="0"/>
        <w:ind w:left="431"/>
        <w:jc w:val="both"/>
      </w:pPr>
      <w:r>
        <w:rPr>
          <w:rFonts w:ascii="Garamond" w:cs="Garamond" w:eastAsia="Garamond" w:hAnsi="Garamond"/>
          <w:b w:val="false"/>
          <w:bCs w:val="false"/>
          <w:color w:val="2a2520"/>
          <w:sz w:val="22"/>
          <w:szCs w:val="22"/>
        </w:rPr>
        <w:t xml:space="preserve">The Legat Consul may be removed on two independent tracks. Under the legislative track, 2/3 of full seated membership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sz w:val="18"/>
          <w:szCs w:val="18"/>
        </w:rPr>
        <w:t xml:space="preserve">§2.14  </w:t>
      </w:r>
      <w:r>
        <w:rPr>
          <w:rFonts w:ascii="Garamond" w:cs="Garamond" w:eastAsia="Garamond" w:hAnsi="Garamond"/>
          <w:b w:val="false"/>
          <w:bCs w:val="false"/>
          <w:i/>
          <w:iCs/>
          <w:color w:val="1B2A4A"/>
          <w:sz w:val="22"/>
          <w:szCs w:val="22"/>
        </w:rPr>
        <w:t xml:space="preserve">Council of Ministers</w:t>
      </w:r>
    </w:p>
    <w:p>
      <w:pPr>
        <w:spacing w:after="120" w:before="0"/>
        <w:ind w:left="431"/>
        <w:jc w:val="both"/>
      </w:pPr>
      <w:r>
        <w:rPr>
          <w:rFonts w:ascii="Garamond" w:cs="Garamond" w:eastAsia="Garamond" w:hAnsi="Garamond"/>
          <w:b w:val="false"/>
          <w:bCs w:val="false"/>
          <w:color w:val="2a2520"/>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for the purposes of this provision; concurrence makes the designation effective and it is published to the NRS immediately with both executives' attributed positions; objection or non-response refers the dispute to the SC under §2.15 for expedited review. A temporary lead designation does not extinguish the other executive's domain authorities or certification functions — it assigns operational coordination, not constitutional supremacy. Either executive may petition the SC directly for emergency resolution of a coordination failure; the SC must rule within the period defined by statute, not to exceed 48 hours.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sz w:val="18"/>
          <w:szCs w:val="18"/>
        </w:rPr>
        <w:t xml:space="preserve">§2.14.a  </w:t>
      </w:r>
      <w:r>
        <w:rPr>
          <w:rFonts w:ascii="Garamond" w:cs="Garamond" w:eastAsia="Garamond" w:hAnsi="Garamond"/>
          <w:b w:val="false"/>
          <w:bCs w:val="false"/>
          <w:i/>
          <w:iCs/>
          <w:color w:val="1B2A4A"/>
          <w:sz w:val="22"/>
          <w:szCs w:val="22"/>
        </w:rPr>
        <w:t xml:space="preserve">Coordination Failure Protocol</w:t>
      </w:r>
    </w:p>
    <w:p>
      <w:pPr>
        <w:spacing w:after="120" w:before="0"/>
        <w:ind w:left="431"/>
        <w:jc w:val="both"/>
      </w:pPr>
      <w:r>
        <w:rPr>
          <w:rFonts w:ascii="Garamond" w:cs="Garamond" w:eastAsia="Garamond" w:hAnsi="Garamond"/>
          <w:b w:val="false"/>
          <w:bCs w:val="false"/>
          <w:color w:val="2a2520"/>
          <w:sz w:val="22"/>
          <w:szCs w:val="22"/>
        </w:rPr>
        <w:t xml:space="preserve">Where both executives are acting within their respective domains but their actions are materially incompatible — creating an operational deadlock not resolvable as a domain dispute under §2.4 or an emergency under §2.14 — either executive may declare a coordination failure by written NRS notice. Upon declaration, the matter is transmitted simultaneously to the Assembly Speaker and Senate Speaker jointly, and the Council of Ministers has 14 days to produce a joint resolution. The Legislature may resolve the deadlock by concurrent resolution of both chambers at any point within 30 days of the declaration — a concurrent resolution under this provision binds both executives to its terms for the duration of the impasse only and does not alter permanent domain boundaries. A Council of Ministers joint resolution published within the 14-day window closes the process; the Legislature takes no further action. Where neither the Council of Ministers nor the Legislature acts within 30 days of the declaration, the Civic Consul’s coordination authority governs the cross-domain interaction until either the executives reach agreement or the Legislature acts; the Legat Consul retains full authority within the Consular domain throughout and the default applies to how the two domains interact, not to the substance of matters within either domain.</w:t>
      </w:r>
    </w:p>
    <w:p>
      <w:pPr>
        <w:spacing w:after="60" w:before="200"/>
        <w:ind w:left="431"/>
        <w:jc w:val="left"/>
      </w:pPr>
      <w:r>
        <w:rPr>
          <w:rFonts w:ascii="Courier New" w:cs="Courier New" w:eastAsia="Courier New" w:hAnsi="Courier New"/>
          <w:b/>
          <w:bCs/>
          <w:sz w:val="18"/>
          <w:szCs w:val="18"/>
        </w:rPr>
        <w:t xml:space="preserve">§2.15  </w:t>
      </w:r>
      <w:r>
        <w:rPr>
          <w:rFonts w:ascii="Garamond" w:cs="Garamond" w:eastAsia="Garamond" w:hAnsi="Garamond"/>
          <w:b w:val="false"/>
          <w:bCs w:val="false"/>
          <w:i/>
          <w:iCs/>
          <w:color w:val="1B2A4A"/>
          <w:sz w:val="22"/>
          <w:szCs w:val="22"/>
        </w:rPr>
        <w:t xml:space="preserve">Constitutional Continuity</w:t>
      </w:r>
    </w:p>
    <w:p>
      <w:pPr>
        <w:spacing w:after="120" w:before="0"/>
        <w:ind w:left="431"/>
        <w:jc w:val="both"/>
      </w:pPr>
      <w:r>
        <w:rPr>
          <w:rFonts w:ascii="Garamond" w:cs="Garamond" w:eastAsia="Garamond" w:hAnsi="Garamond"/>
          <w:b w:val="false"/>
          <w:bCs w:val="false"/>
          <w:color w:val="2a2520"/>
          <w:sz w:val="22"/>
          <w:szCs w:val="22"/>
        </w:rPr>
        <w:t xml:space="preserve">Where a conflict between constitutional actors creates a risk of suspension of lawful governance or constitutionally mandated essential services, the applicable constitutional default is continuity of lawful governance at existing scope, pending formal resolution. No constitutional actor may use a refusal to certify, approve, or coordinate as a mechanism to achieve the functional suspension of a constitutionally mandated obligation. The burden of justifying a disruption to essential government functions falls on the actor whose conduct creates the risk of disruption — not on the actor seeking to maintain continuity. The SC holds expedited review jurisdiction over any constitutional dispute in which either executive, either chamber, or the JMC reports that continuity of lawful governance is at immediate risk; the Court must act within seven days of such certification; where the SC fails to rule within seven days, the existing scope of government functions continues by constitutional operation pending any subsequent ruling. Continuity protections apply to: military operations with active legislative authorization; social state obligations; Monitor operations; NRS availability; and electoral administration. **Article III — The Legislature**</w:t>
      </w:r>
    </w:p>
    <w:p>
      <w:pPr>
        <w:spacing w:after="60" w:before="200"/>
        <w:ind w:left="431"/>
        <w:jc w:val="left"/>
      </w:pPr>
      <w:r>
        <w:rPr>
          <w:rFonts w:ascii="Courier New" w:cs="Courier New" w:eastAsia="Courier New" w:hAnsi="Courier New"/>
          <w:b/>
          <w:bCs/>
          <w:sz w:val="18"/>
          <w:szCs w:val="18"/>
        </w:rPr>
        <w:t xml:space="preserve">§2.16  </w:t>
      </w:r>
      <w:r>
        <w:rPr>
          <w:rFonts w:ascii="Garamond" w:cs="Garamond" w:eastAsia="Garamond" w:hAnsi="Garamond"/>
          <w:b w:val="false"/>
          <w:bCs w:val="false"/>
          <w:i/>
          <w:iCs/>
          <w:color w:val="1B2A4A"/>
          <w:sz w:val="22"/>
          <w:szCs w:val="22"/>
        </w:rPr>
        <w:t xml:space="preserve">Federal Prosecution Service</w:t>
      </w:r>
    </w:p>
    <w:p>
      <w:pPr>
        <w:spacing w:after="120" w:before="0"/>
        <w:ind w:left="431"/>
        <w:jc w:val="both"/>
      </w:pPr>
      <w:r>
        <w:rPr>
          <w:rFonts w:ascii="Garamond" w:cs="Garamond" w:eastAsia="Garamond" w:hAnsi="Garamond"/>
          <w:b w:val="false"/>
          <w:bCs w:val="false"/>
          <w:color w:val="2a2520"/>
          <w:sz w:val="22"/>
          <w:szCs w:val="22"/>
        </w:rPr>
        <w:t xml:space="preserve">A constitutionally independent Federal Prosecution Service investigates and prosecutes violations of federal law and constitutionally mandated obligations. The Service operates under the Civic Consul's general policy direction; any direction concerning a specific prosecution must be in writing and published to the NRS simultaneously with issuance. The Legislature may not reduce the Service's appropriation below the prior year's level without a 2/3 vote of full seated membership of both chambers.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III — The Legislature</w:t>
      </w:r>
    </w:p>
    <w:p>
      <w:pPr>
        <w:spacing w:after="60" w:before="200"/>
        <w:ind w:left="431"/>
        <w:jc w:val="left"/>
      </w:pPr>
      <w:r>
        <w:rPr>
          <w:rFonts w:ascii="Courier New" w:cs="Courier New" w:eastAsia="Courier New" w:hAnsi="Courier New"/>
          <w:b/>
          <w:bCs/>
          <w:sz w:val="18"/>
          <w:szCs w:val="18"/>
        </w:rPr>
        <w:t xml:space="preserve">§3.1  </w:t>
      </w:r>
      <w:r>
        <w:rPr>
          <w:rFonts w:ascii="Garamond" w:cs="Garamond" w:eastAsia="Garamond" w:hAnsi="Garamond"/>
          <w:b w:val="false"/>
          <w:bCs w:val="false"/>
          <w:i/>
          <w:iCs/>
          <w:color w:val="1B2A4A"/>
          <w:sz w:val="22"/>
          <w:szCs w:val="22"/>
        </w:rPr>
        <w:t xml:space="preserve">The Legislature</w:t>
      </w:r>
    </w:p>
    <w:p>
      <w:pPr>
        <w:spacing w:after="120" w:before="0"/>
        <w:ind w:left="431"/>
        <w:jc w:val="both"/>
      </w:pPr>
      <w:r>
        <w:rPr>
          <w:rFonts w:ascii="Garamond" w:cs="Garamond" w:eastAsia="Garamond" w:hAnsi="Garamond"/>
          <w:b w:val="false"/>
          <w:b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sz w:val="18"/>
          <w:szCs w:val="18"/>
        </w:rPr>
        <w:t xml:space="preserve">§3.2  </w:t>
      </w:r>
      <w:r>
        <w:rPr>
          <w:rFonts w:ascii="Garamond" w:cs="Garamond" w:eastAsia="Garamond" w:hAnsi="Garamond"/>
          <w:b w:val="false"/>
          <w:bCs w:val="false"/>
          <w:i/>
          <w:iCs/>
          <w:color w:val="1B2A4A"/>
          <w:sz w:val="22"/>
          <w:szCs w:val="22"/>
        </w:rPr>
        <w:t xml:space="preserve">The Assembly</w:t>
      </w:r>
    </w:p>
    <w:p>
      <w:pPr>
        <w:spacing w:after="120" w:before="0"/>
        <w:ind w:left="431"/>
        <w:jc w:val="both"/>
      </w:pPr>
      <w:r>
        <w:rPr>
          <w:rFonts w:ascii="Garamond" w:cs="Garamond" w:eastAsia="Garamond" w:hAnsi="Garamond"/>
          <w:b w:val="false"/>
          <w:b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and does not hold a place in the Legat Consul succession line.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Legislative compensation is set by independent formula, not by the Legislature itself;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sz w:val="18"/>
          <w:szCs w:val="18"/>
        </w:rPr>
        <w:t xml:space="preserve">§3.3  </w:t>
      </w:r>
      <w:r>
        <w:rPr>
          <w:rFonts w:ascii="Garamond" w:cs="Garamond" w:eastAsia="Garamond" w:hAnsi="Garamond"/>
          <w:b w:val="false"/>
          <w:bCs w:val="false"/>
          <w:i/>
          <w:iCs/>
          <w:color w:val="1B2A4A"/>
          <w:sz w:val="22"/>
          <w:szCs w:val="22"/>
        </w:rPr>
        <w:t xml:space="preserve">Electoral Districts</w:t>
      </w:r>
    </w:p>
    <w:p>
      <w:pPr>
        <w:spacing w:after="120" w:before="0"/>
        <w:ind w:left="431"/>
        <w:jc w:val="both"/>
      </w:pPr>
      <w:r>
        <w:rPr>
          <w:rFonts w:ascii="Garamond" w:cs="Garamond" w:eastAsia="Garamond" w:hAnsi="Garamond"/>
          <w:b w:val="false"/>
          <w:b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voting history or incumbent residence as criteria of any weight.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sz w:val="18"/>
          <w:szCs w:val="18"/>
        </w:rPr>
        <w:t xml:space="preserve">§3.4  </w:t>
      </w:r>
      <w:r>
        <w:rPr>
          <w:rFonts w:ascii="Garamond" w:cs="Garamond" w:eastAsia="Garamond" w:hAnsi="Garamond"/>
          <w:b w:val="false"/>
          <w:bCs w:val="false"/>
          <w:i/>
          <w:iCs/>
          <w:color w:val="1B2A4A"/>
          <w:sz w:val="22"/>
          <w:szCs w:val="22"/>
        </w:rPr>
        <w:t xml:space="preserve">Legislative Standards</w:t>
      </w:r>
    </w:p>
    <w:p>
      <w:pPr>
        <w:spacing w:after="120" w:before="0"/>
        <w:ind w:left="431"/>
        <w:jc w:val="both"/>
      </w:pPr>
      <w:r>
        <w:rPr>
          <w:rFonts w:ascii="Garamond" w:cs="Garamond" w:eastAsia="Garamond" w:hAnsi="Garamond"/>
          <w:b w:val="false"/>
          <w:bCs w:val="false"/>
          <w:color w:val="2a2520"/>
          <w:sz w:val="22"/>
          <w:szCs w:val="22"/>
        </w:rPr>
        <w:t xml:space="preserve">Every bill must address a single, clearly defined subject. Any member or approval body in the legislative process may request an EM assessment of single-subject compliance, published to the NRS. Where the Civic Consul assesses that a pending bill violates the single-subject requirement, the Civic Consul may request an LM assessment before the review period expires; the LM confirms or rejects the Civic Consul's assessment within the period defined by statute. Where the LM confirms the assessment, the bill is remitted to the Assembly Speaker for division into compliant legislation through the ordinary legislative process; the LM assessment is final for that bill. Where the LM rejects the assessment, the Civic Consul proceeds under §2.7.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provides standard residential accommodation at the Seat of Government to every serving member of both chambers during their period of service. The standard is defined by statute and applies equally to all members regardless of tenure, seniority, or political affiliation. Legislative compensation and accommodation standards may not be set by the Legislature itself.</w:t>
      </w:r>
    </w:p>
    <w:p>
      <w:pPr>
        <w:spacing w:after="60" w:before="200"/>
        <w:ind w:left="431"/>
        <w:jc w:val="left"/>
      </w:pPr>
      <w:r>
        <w:rPr>
          <w:rFonts w:ascii="Courier New" w:cs="Courier New" w:eastAsia="Courier New" w:hAnsi="Courier New"/>
          <w:b/>
          <w:bCs/>
          <w:sz w:val="18"/>
          <w:szCs w:val="18"/>
        </w:rPr>
        <w:t xml:space="preserve">§3.5  </w:t>
      </w:r>
      <w:r>
        <w:rPr>
          <w:rFonts w:ascii="Garamond" w:cs="Garamond" w:eastAsia="Garamond" w:hAnsi="Garamond"/>
          <w:b w:val="false"/>
          <w:bCs w:val="false"/>
          <w:i/>
          <w:iCs/>
          <w:color w:val="1B2A4A"/>
          <w:sz w:val="22"/>
          <w:szCs w:val="22"/>
        </w:rPr>
        <w:t xml:space="preserve">The Senate</w:t>
      </w:r>
    </w:p>
    <w:p>
      <w:pPr>
        <w:spacing w:after="120" w:before="0"/>
        <w:ind w:left="431"/>
        <w:jc w:val="both"/>
      </w:pPr>
      <w:r>
        <w:rPr>
          <w:rFonts w:ascii="Garamond" w:cs="Garamond" w:eastAsia="Garamond" w:hAnsi="Garamond"/>
          <w:b w:val="false"/>
          <w:b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sz w:val="18"/>
          <w:szCs w:val="18"/>
        </w:rPr>
        <w:t xml:space="preserve">§3.6  </w:t>
      </w:r>
      <w:r>
        <w:rPr>
          <w:rFonts w:ascii="Garamond" w:cs="Garamond" w:eastAsia="Garamond" w:hAnsi="Garamond"/>
          <w:b w:val="false"/>
          <w:bCs w:val="false"/>
          <w:i/>
          <w:iCs/>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color w:val="2a2520"/>
          <w:sz w:val="22"/>
          <w:szCs w:val="22"/>
        </w:rPr>
        <w:t xml:space="preserve">Treaty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 Indigenous treaties under Article XVI may not be unilaterally withdrawn.</w:t>
      </w:r>
    </w:p>
    <w:p>
      <w:pPr>
        <w:spacing w:after="60" w:before="200"/>
        <w:ind w:left="431"/>
        <w:jc w:val="left"/>
      </w:pPr>
      <w:r>
        <w:rPr>
          <w:rFonts w:ascii="Courier New" w:cs="Courier New" w:eastAsia="Courier New" w:hAnsi="Courier New"/>
          <w:b/>
          <w:bCs/>
          <w:sz w:val="18"/>
          <w:szCs w:val="18"/>
        </w:rPr>
        <w:t xml:space="preserve">§3.7  </w:t>
      </w:r>
      <w:r>
        <w:rPr>
          <w:rFonts w:ascii="Garamond" w:cs="Garamond" w:eastAsia="Garamond" w:hAnsi="Garamond"/>
          <w:b w:val="false"/>
          <w:bCs w:val="false"/>
          <w:i/>
          <w:iCs/>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sz w:val="18"/>
          <w:szCs w:val="18"/>
        </w:rPr>
        <w:t xml:space="preserve">§3.8  </w:t>
      </w:r>
      <w:r>
        <w:rPr>
          <w:rFonts w:ascii="Garamond" w:cs="Garamond" w:eastAsia="Garamond" w:hAnsi="Garamond"/>
          <w:b w:val="false"/>
          <w:bCs w:val="false"/>
          <w:i/>
          <w:iCs/>
          <w:color w:val="1B2A4A"/>
          <w:sz w:val="22"/>
          <w:szCs w:val="22"/>
        </w:rPr>
        <w:t xml:space="preserve">Legislative Oversight</w:t>
      </w:r>
    </w:p>
    <w:p>
      <w:pPr>
        <w:spacing w:after="120" w:before="0"/>
        <w:ind w:left="431"/>
        <w:jc w:val="both"/>
      </w:pPr>
      <w:r>
        <w:rPr>
          <w:rFonts w:ascii="Garamond" w:cs="Garamond" w:eastAsia="Garamond" w:hAnsi="Garamond"/>
          <w:b w:val="false"/>
          <w:b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sz w:val="18"/>
          <w:szCs w:val="18"/>
        </w:rPr>
        <w:t xml:space="preserve">§3.9  </w:t>
      </w:r>
      <w:r>
        <w:rPr>
          <w:rFonts w:ascii="Garamond" w:cs="Garamond" w:eastAsia="Garamond" w:hAnsi="Garamond"/>
          <w:b w:val="false"/>
          <w:bCs w:val="false"/>
          <w:i/>
          <w:iCs/>
          <w:color w:val="1B2A4A"/>
          <w:sz w:val="22"/>
          <w:szCs w:val="22"/>
        </w:rPr>
        <w:t xml:space="preserve">Independent Statutory Agencies</w:t>
      </w:r>
    </w:p>
    <w:p>
      <w:pPr>
        <w:spacing w:after="120" w:before="0"/>
        <w:ind w:left="431"/>
        <w:jc w:val="both"/>
      </w:pPr>
      <w:r>
        <w:rPr>
          <w:rFonts w:ascii="Garamond" w:cs="Garamond" w:eastAsia="Garamond" w:hAnsi="Garamond"/>
          <w:b w:val="false"/>
          <w:b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sz w:val="18"/>
          <w:szCs w:val="18"/>
        </w:rPr>
        <w:t xml:space="preserve">§3.10  </w:t>
      </w:r>
      <w:r>
        <w:rPr>
          <w:rFonts w:ascii="Garamond" w:cs="Garamond" w:eastAsia="Garamond" w:hAnsi="Garamond"/>
          <w:b w:val="false"/>
          <w:bCs w:val="false"/>
          <w:i/>
          <w:iCs/>
          <w:color w:val="1B2A4A"/>
          <w:sz w:val="22"/>
          <w:szCs w:val="22"/>
        </w:rPr>
        <w:t xml:space="preserve">Impeachment</w:t>
      </w:r>
    </w:p>
    <w:p>
      <w:pPr>
        <w:spacing w:after="120" w:before="0"/>
        <w:ind w:left="431"/>
        <w:jc w:val="both"/>
      </w:pPr>
      <w:r>
        <w:rPr>
          <w:rFonts w:ascii="Garamond" w:cs="Garamond" w:eastAsia="Garamond" w:hAnsi="Garamond"/>
          <w:b w:val="false"/>
          <w:b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sz w:val="18"/>
          <w:szCs w:val="18"/>
        </w:rPr>
        <w:t xml:space="preserve">§3.11  </w:t>
      </w:r>
      <w:r>
        <w:rPr>
          <w:rFonts w:ascii="Garamond" w:cs="Garamond" w:eastAsia="Garamond" w:hAnsi="Garamond"/>
          <w:b w:val="false"/>
          <w:bCs w:val="false"/>
          <w:i/>
          <w:iCs/>
          <w:color w:val="1B2A4A"/>
          <w:sz w:val="22"/>
          <w:szCs w:val="22"/>
        </w:rPr>
        <w:t xml:space="preserve">Inviolability of Electoral Mandates</w:t>
      </w:r>
    </w:p>
    <w:p>
      <w:pPr>
        <w:spacing w:after="120" w:before="0"/>
        <w:ind w:left="431"/>
        <w:jc w:val="both"/>
      </w:pPr>
      <w:r>
        <w:rPr>
          <w:rFonts w:ascii="Garamond" w:cs="Garamond" w:eastAsia="Garamond" w:hAnsi="Garamond"/>
          <w:b w:val="false"/>
          <w:bCs w:val="false"/>
          <w:color w:val="2a2520"/>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sz w:val="18"/>
          <w:szCs w:val="18"/>
        </w:rPr>
        <w:t xml:space="preserve">§3.12  </w:t>
      </w:r>
      <w:r>
        <w:rPr>
          <w:rFonts w:ascii="Garamond" w:cs="Garamond" w:eastAsia="Garamond" w:hAnsi="Garamond"/>
          <w:b w:val="false"/>
          <w:bCs w:val="false"/>
          <w:i/>
          <w:iCs/>
          <w:color w:val="1B2A4A"/>
          <w:sz w:val="22"/>
          <w:szCs w:val="22"/>
        </w:rPr>
        <w:t xml:space="preserve">Disqualifying Offense</w:t>
      </w:r>
    </w:p>
    <w:p>
      <w:pPr>
        <w:spacing w:after="120" w:before="0"/>
        <w:ind w:left="431"/>
        <w:jc w:val="both"/>
      </w:pPr>
      <w:r>
        <w:rPr>
          <w:rFonts w:ascii="Garamond" w:cs="Garamond" w:eastAsia="Garamond" w:hAnsi="Garamond"/>
          <w:b w:val="false"/>
          <w:b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published to the NRS.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sz w:val="18"/>
          <w:szCs w:val="18"/>
        </w:rPr>
        <w:t xml:space="preserve">§3.13  </w:t>
      </w:r>
      <w:r>
        <w:rPr>
          <w:rFonts w:ascii="Garamond" w:cs="Garamond" w:eastAsia="Garamond" w:hAnsi="Garamond"/>
          <w:b w:val="false"/>
          <w:bCs w:val="false"/>
          <w:i/>
          <w:i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 **Article IV — The Judicial Architecture**</w:t>
      </w:r>
    </w:p>
    <w:p>
      <w:pPr>
        <w:spacing w:after="60" w:before="200"/>
        <w:ind w:left="431"/>
        <w:jc w:val="left"/>
      </w:pPr>
      <w:r>
        <w:rPr>
          <w:rFonts w:ascii="Courier New" w:cs="Courier New" w:eastAsia="Courier New" w:hAnsi="Courier New"/>
          <w:b/>
          <w:bCs/>
          <w:sz w:val="18"/>
          <w:szCs w:val="18"/>
        </w:rPr>
        <w:t xml:space="preserve">§3.14  </w:t>
      </w:r>
      <w:r>
        <w:rPr>
          <w:rFonts w:ascii="Garamond" w:cs="Garamond" w:eastAsia="Garamond" w:hAnsi="Garamond"/>
          <w:b w:val="false"/>
          <w:bCs w:val="false"/>
          <w:i/>
          <w:iCs/>
          <w:color w:val="1B2A4A"/>
          <w:sz w:val="22"/>
          <w:szCs w:val="22"/>
        </w:rPr>
        <w:t xml:space="preserve">Federal Legislative Competence</w:t>
      </w:r>
    </w:p>
    <w:p>
      <w:pPr>
        <w:spacing w:after="120" w:before="0"/>
        <w:ind w:left="431"/>
        <w:jc w:val="both"/>
      </w:pPr>
      <w:r>
        <w:rPr>
          <w:rFonts w:ascii="Garamond" w:cs="Garamond" w:eastAsia="Garamond" w:hAnsi="Garamond"/>
          <w:b w:val="false"/>
          <w:b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IV — The Judicial Architecture</w:t>
      </w:r>
    </w:p>
    <w:p>
      <w:pPr>
        <w:spacing w:after="60" w:before="200"/>
        <w:ind w:left="431"/>
        <w:jc w:val="left"/>
      </w:pPr>
      <w:r>
        <w:rPr>
          <w:rFonts w:ascii="Courier New" w:cs="Courier New" w:eastAsia="Courier New" w:hAnsi="Courier New"/>
          <w:b/>
          <w:bCs/>
          <w:sz w:val="18"/>
          <w:szCs w:val="18"/>
        </w:rPr>
        <w:t xml:space="preserve">§4.1  </w:t>
      </w:r>
      <w:r>
        <w:rPr>
          <w:rFonts w:ascii="Garamond" w:cs="Garamond" w:eastAsia="Garamond" w:hAnsi="Garamond"/>
          <w:b w:val="false"/>
          <w:bCs w:val="false"/>
          <w:i/>
          <w:iCs/>
          <w:color w:val="1B2A4A"/>
          <w:sz w:val="22"/>
          <w:szCs w:val="22"/>
        </w:rPr>
        <w:t xml:space="preserve">Court Structure</w:t>
      </w:r>
    </w:p>
    <w:p>
      <w:pPr>
        <w:spacing w:after="120" w:before="0"/>
        <w:ind w:left="431"/>
        <w:jc w:val="both"/>
      </w:pPr>
      <w:r>
        <w:rPr>
          <w:rFonts w:ascii="Garamond" w:cs="Garamond" w:eastAsia="Garamond" w:hAnsi="Garamond"/>
          <w:b w:val="false"/>
          <w:b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sz w:val="18"/>
          <w:szCs w:val="18"/>
        </w:rPr>
        <w:t xml:space="preserve">§4.2  </w:t>
      </w:r>
      <w:r>
        <w:rPr>
          <w:rFonts w:ascii="Garamond" w:cs="Garamond" w:eastAsia="Garamond" w:hAnsi="Garamond"/>
          <w:b w:val="false"/>
          <w:bCs w:val="false"/>
          <w:i/>
          <w:iCs/>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color w:val="2a2520"/>
          <w:sz w:val="22"/>
          <w:szCs w:val="22"/>
        </w:rPr>
        <w:t xml:space="preserve">Any person meeting the qualifications for inferior court judges defined by statute may apply directly to the Elections Panel; the Elections Panel applies those qualifications and enters qualifying applicants into the pool; the JM’s ongoing audit of the Elections Panel encompasses the administration of the inferior court judge pool. Exceptions to pool eligibility — including persons currently holding government positions, those with disqualifying financial interests, and those removed from a court within a recent period — are defined by statute. The Civic Consul nominates inferior court judges from the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full seated membership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sz w:val="18"/>
          <w:szCs w:val="18"/>
        </w:rPr>
        <w:t xml:space="preserve">§4.3  </w:t>
      </w:r>
      <w:r>
        <w:rPr>
          <w:rFonts w:ascii="Garamond" w:cs="Garamond" w:eastAsia="Garamond" w:hAnsi="Garamond"/>
          <w:b w:val="false"/>
          <w:bCs w:val="false"/>
          <w:i/>
          <w:iCs/>
          <w:color w:val="1B2A4A"/>
          <w:sz w:val="22"/>
          <w:szCs w:val="22"/>
        </w:rPr>
        <w:t xml:space="preserve">The Supreme Court</w:t>
      </w:r>
    </w:p>
    <w:p>
      <w:pPr>
        <w:spacing w:after="120" w:before="0"/>
        <w:ind w:left="431"/>
        <w:jc w:val="both"/>
      </w:pPr>
      <w:r>
        <w:rPr>
          <w:rFonts w:ascii="Garamond" w:cs="Garamond" w:eastAsia="Garamond" w:hAnsi="Garamond"/>
          <w:b w:val="false"/>
          <w:b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full seated membership of both chambers; any seat added must be filled within 18 months from the statute's effective date or expires by operation of law. The Legislature may decrease the number only by 2/3 of full seated membership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sz w:val="18"/>
          <w:szCs w:val="18"/>
        </w:rPr>
        <w:t xml:space="preserve">§4.3.a  </w:t>
      </w:r>
      <w:r>
        <w:rPr>
          <w:rFonts w:ascii="Garamond" w:cs="Garamond" w:eastAsia="Garamond" w:hAnsi="Garamond"/>
          <w:b w:val="false"/>
          <w:bCs w:val="false"/>
          <w:i/>
          <w:iCs/>
          <w:color w:val="1B2A4A"/>
          <w:sz w:val="22"/>
          <w:szCs w:val="22"/>
        </w:rPr>
        <w:t xml:space="preserve">Supreme Court Quorum</w:t>
      </w:r>
    </w:p>
    <w:p>
      <w:pPr>
        <w:spacing w:after="120" w:before="0"/>
        <w:ind w:left="431"/>
        <w:jc w:val="both"/>
      </w:pPr>
      <w:r>
        <w:rPr>
          <w:rFonts w:ascii="Garamond" w:cs="Garamond" w:eastAsia="Garamond" w:hAnsi="Garamond"/>
          <w:b w:val="false"/>
          <w:b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sz w:val="18"/>
          <w:szCs w:val="18"/>
        </w:rPr>
        <w:t xml:space="preserve">§4.3.b  </w:t>
      </w:r>
      <w:r>
        <w:rPr>
          <w:rFonts w:ascii="Garamond" w:cs="Garamond" w:eastAsia="Garamond" w:hAnsi="Garamond"/>
          <w:b w:val="false"/>
          <w:bCs w:val="false"/>
          <w:i/>
          <w:i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full seated membership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sz w:val="18"/>
          <w:szCs w:val="18"/>
        </w:rPr>
        <w:t xml:space="preserve">§4.4  </w:t>
      </w:r>
      <w:r>
        <w:rPr>
          <w:rFonts w:ascii="Garamond" w:cs="Garamond" w:eastAsia="Garamond" w:hAnsi="Garamond"/>
          <w:b w:val="false"/>
          <w:bCs w:val="false"/>
          <w:i/>
          <w:iCs/>
          <w:color w:val="1B2A4A"/>
          <w:sz w:val="22"/>
          <w:szCs w:val="22"/>
        </w:rPr>
        <w:t xml:space="preserve">Supreme Court Selection</w:t>
      </w:r>
    </w:p>
    <w:p>
      <w:pPr>
        <w:spacing w:after="120" w:before="0"/>
        <w:ind w:left="431"/>
        <w:jc w:val="both"/>
      </w:pPr>
      <w:r>
        <w:rPr>
          <w:rFonts w:ascii="Garamond" w:cs="Garamond" w:eastAsia="Garamond" w:hAnsi="Garamond"/>
          <w:b w:val="false"/>
          <w:bCs w:val="false"/>
          <w:color w:val="2a2520"/>
          <w:sz w:val="22"/>
          <w:szCs w:val="22"/>
        </w:rPr>
        <w:t xml:space="preserve">SC justices are nominated by the Civic Consul from the open SC Candidate Registry maintained by the Elections Panel under §9.4.b — any eligible citizen who applies and meets the qualification criteria is entered.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SC Candidate Registry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SC Candidate Registry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w:t>
      </w:r>
    </w:p>
    <w:p>
      <w:pPr>
        <w:spacing w:after="60" w:before="200"/>
        <w:ind w:left="431"/>
        <w:jc w:val="left"/>
      </w:pPr>
      <w:r>
        <w:rPr>
          <w:rFonts w:ascii="Courier New" w:cs="Courier New" w:eastAsia="Courier New" w:hAnsi="Courier New"/>
          <w:b/>
          <w:bCs/>
          <w:sz w:val="18"/>
          <w:szCs w:val="18"/>
        </w:rPr>
        <w:t xml:space="preserve">§4.4.a  </w:t>
      </w:r>
      <w:r>
        <w:rPr>
          <w:rFonts w:ascii="Garamond" w:cs="Garamond" w:eastAsia="Garamond" w:hAnsi="Garamond"/>
          <w:b w:val="false"/>
          <w:bCs w:val="false"/>
          <w:i/>
          <w:i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sz w:val="18"/>
          <w:szCs w:val="18"/>
        </w:rPr>
        <w:t xml:space="preserve">§4.4.b  </w:t>
      </w:r>
      <w:r>
        <w:rPr>
          <w:rFonts w:ascii="Garamond" w:cs="Garamond" w:eastAsia="Garamond" w:hAnsi="Garamond"/>
          <w:b w:val="false"/>
          <w:bCs w:val="false"/>
          <w:i/>
          <w:iCs/>
          <w:color w:val="1B2A4A"/>
          <w:sz w:val="22"/>
          <w:szCs w:val="22"/>
        </w:rPr>
        <w:t xml:space="preserve">Temporary Associate Justice</w:t>
      </w:r>
    </w:p>
    <w:p>
      <w:pPr>
        <w:spacing w:after="120" w:before="0"/>
        <w:ind w:left="431"/>
        <w:jc w:val="both"/>
      </w:pPr>
      <w:r>
        <w:rPr>
          <w:rFonts w:ascii="Garamond" w:cs="Garamond" w:eastAsia="Garamond" w:hAnsi="Garamond"/>
          <w:b w:val="false"/>
          <w:bCs w:val="false"/>
          <w:color w:val="2a2520"/>
          <w:sz w:val="22"/>
          <w:szCs w:val="22"/>
        </w:rPr>
        <w:t xml:space="preserve">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sz w:val="18"/>
          <w:szCs w:val="18"/>
        </w:rPr>
        <w:t xml:space="preserve">§4.5  </w:t>
      </w:r>
      <w:r>
        <w:rPr>
          <w:rFonts w:ascii="Garamond" w:cs="Garamond" w:eastAsia="Garamond" w:hAnsi="Garamond"/>
          <w:b w:val="false"/>
          <w:bCs w:val="false"/>
          <w:i/>
          <w:iCs/>
          <w:color w:val="1B2A4A"/>
          <w:sz w:val="22"/>
          <w:szCs w:val="22"/>
        </w:rPr>
        <w:t xml:space="preserve">Judicial Review and Scope</w:t>
      </w:r>
    </w:p>
    <w:p>
      <w:pPr>
        <w:spacing w:after="120" w:before="0"/>
        <w:ind w:left="431"/>
        <w:jc w:val="both"/>
      </w:pPr>
      <w:r>
        <w:rPr>
          <w:rFonts w:ascii="Garamond" w:cs="Garamond" w:eastAsia="Garamond" w:hAnsi="Garamond"/>
          <w:b w:val="false"/>
          <w:b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a statute that is constitutionally permissible but poor policy is not the court's concern.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sz w:val="18"/>
          <w:szCs w:val="18"/>
        </w:rPr>
        <w:t xml:space="preserve">§4.6  </w:t>
      </w:r>
      <w:r>
        <w:rPr>
          <w:rFonts w:ascii="Garamond" w:cs="Garamond" w:eastAsia="Garamond" w:hAnsi="Garamond"/>
          <w:b w:val="false"/>
          <w:bCs w:val="false"/>
          <w:i/>
          <w:iCs/>
          <w:color w:val="1B2A4A"/>
          <w:sz w:val="22"/>
          <w:szCs w:val="22"/>
        </w:rPr>
        <w:t xml:space="preserve">Judgment Recognition</w:t>
      </w:r>
    </w:p>
    <w:p>
      <w:pPr>
        <w:spacing w:after="120" w:before="0"/>
        <w:ind w:left="431"/>
        <w:jc w:val="both"/>
      </w:pPr>
      <w:r>
        <w:rPr>
          <w:rFonts w:ascii="Garamond" w:cs="Garamond" w:eastAsia="Garamond" w:hAnsi="Garamond"/>
          <w:b w:val="false"/>
          <w:b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sz w:val="18"/>
          <w:szCs w:val="18"/>
        </w:rPr>
        <w:t xml:space="preserve">§4.7  </w:t>
      </w:r>
      <w:r>
        <w:rPr>
          <w:rFonts w:ascii="Garamond" w:cs="Garamond" w:eastAsia="Garamond" w:hAnsi="Garamond"/>
          <w:b w:val="false"/>
          <w:bCs w:val="false"/>
          <w:i/>
          <w:iCs/>
          <w:color w:val="1B2A4A"/>
          <w:sz w:val="22"/>
          <w:szCs w:val="22"/>
        </w:rPr>
        <w:t xml:space="preserve">Jury Service</w:t>
      </w:r>
    </w:p>
    <w:p>
      <w:pPr>
        <w:spacing w:after="120" w:before="0"/>
        <w:ind w:left="431"/>
        <w:jc w:val="both"/>
      </w:pPr>
      <w:r>
        <w:rPr>
          <w:rFonts w:ascii="Garamond" w:cs="Garamond" w:eastAsia="Garamond" w:hAnsi="Garamond"/>
          <w:b w:val="false"/>
          <w:b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 **Article V — Citizenship and National Identity**</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V — Citizenship, Residency, and National Identity</w:t>
      </w:r>
    </w:p>
    <w:p>
      <w:pPr>
        <w:spacing w:after="60" w:before="200"/>
        <w:ind w:left="431"/>
        <w:jc w:val="left"/>
      </w:pPr>
      <w:r>
        <w:rPr>
          <w:rFonts w:ascii="Courier New" w:cs="Courier New" w:eastAsia="Courier New" w:hAnsi="Courier New"/>
          <w:b/>
          <w:bCs/>
          <w:sz w:val="18"/>
          <w:szCs w:val="18"/>
        </w:rPr>
        <w:t xml:space="preserve">§5.1  </w:t>
      </w:r>
      <w:r>
        <w:rPr>
          <w:rFonts w:ascii="Garamond" w:cs="Garamond" w:eastAsia="Garamond" w:hAnsi="Garamond"/>
          <w:b w:val="false"/>
          <w:bCs w:val="false"/>
          <w:i/>
          <w:iCs/>
          <w:color w:val="1B2A4A"/>
          <w:sz w:val="22"/>
          <w:szCs w:val="22"/>
        </w:rPr>
        <w:t xml:space="preserve">Citizenship</w:t>
      </w:r>
    </w:p>
    <w:p>
      <w:pPr>
        <w:spacing w:after="120" w:before="0"/>
        <w:ind w:left="431"/>
        <w:jc w:val="both"/>
      </w:pPr>
      <w:r>
        <w:rPr>
          <w:rFonts w:ascii="Garamond" w:cs="Garamond" w:eastAsia="Garamond" w:hAnsi="Garamond"/>
          <w:b w:val="false"/>
          <w:b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No citizenship may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sz w:val="18"/>
          <w:szCs w:val="18"/>
        </w:rPr>
        <w:t xml:space="preserve">§5.1.a  </w:t>
      </w:r>
      <w:r>
        <w:rPr>
          <w:rFonts w:ascii="Garamond" w:cs="Garamond" w:eastAsia="Garamond" w:hAnsi="Garamond"/>
          <w:b w:val="false"/>
          <w:bCs w:val="false"/>
          <w:i/>
          <w:iCs/>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as defined by statute.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sz w:val="18"/>
          <w:szCs w:val="18"/>
        </w:rPr>
        <w:t xml:space="preserve">§5.1.b  </w:t>
      </w:r>
      <w:r>
        <w:rPr>
          <w:rFonts w:ascii="Garamond" w:cs="Garamond" w:eastAsia="Garamond" w:hAnsi="Garamond"/>
          <w:b w:val="false"/>
          <w:bCs w:val="false"/>
          <w:i/>
          <w:iCs/>
          <w:color w:val="1B2A4A"/>
          <w:sz w:val="22"/>
          <w:szCs w:val="22"/>
        </w:rPr>
        <w:t xml:space="preserve">Derivative and Founding Status</w:t>
      </w:r>
    </w:p>
    <w:p>
      <w:pPr>
        <w:spacing w:after="120" w:before="0"/>
        <w:ind w:left="431"/>
        <w:jc w:val="both"/>
      </w:pPr>
      <w:r>
        <w:rPr>
          <w:rFonts w:ascii="Garamond" w:cs="Garamond" w:eastAsia="Garamond" w:hAnsi="Garamond"/>
          <w:b w:val="false"/>
          <w:bCs w:val="false"/>
          <w:color w:val="2a2520"/>
          <w:sz w:val="22"/>
          <w:szCs w:val="22"/>
        </w:rPr>
        <w:t xml:space="preserve">A child born before a parent acquired legal residency or citizenship, who accompanies that parent to the Republic within a Legislature-defined window, receives derivative status.</w:t>
      </w:r>
    </w:p>
    <w:p>
      <w:pPr>
        <w:spacing w:after="60" w:before="200"/>
        <w:ind w:left="431"/>
        <w:jc w:val="left"/>
      </w:pPr>
      <w:r>
        <w:rPr>
          <w:rFonts w:ascii="Courier New" w:cs="Courier New" w:eastAsia="Courier New" w:hAnsi="Courier New"/>
          <w:b/>
          <w:bCs/>
          <w:sz w:val="18"/>
          <w:szCs w:val="18"/>
        </w:rPr>
        <w:t xml:space="preserve">§5.2  </w:t>
      </w:r>
      <w:r>
        <w:rPr>
          <w:rFonts w:ascii="Garamond" w:cs="Garamond" w:eastAsia="Garamond" w:hAnsi="Garamond"/>
          <w:b w:val="false"/>
          <w:bCs w:val="false"/>
          <w:i/>
          <w:iCs/>
          <w:color w:val="1B2A4A"/>
          <w:sz w:val="22"/>
          <w:szCs w:val="22"/>
        </w:rPr>
        <w:t xml:space="preserve">Legal Resident Rights</w:t>
      </w:r>
    </w:p>
    <w:p>
      <w:pPr>
        <w:spacing w:after="120" w:before="0"/>
        <w:ind w:left="431"/>
        <w:jc w:val="both"/>
      </w:pPr>
      <w:r>
        <w:rPr>
          <w:rFonts w:ascii="Garamond" w:cs="Garamond" w:eastAsia="Garamond" w:hAnsi="Garamond"/>
          <w:b w:val="false"/>
          <w:bCs w:val="false"/>
          <w:color w:val="2a2520"/>
          <w:sz w:val="22"/>
          <w:szCs w:val="22"/>
        </w:rPr>
        <w:t xml:space="preserve">An Inhabitant is any person within the Republic's jurisdiction. Inhabitants hold all Article I rights regardless of citizenship or residency status. 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sz w:val="18"/>
          <w:szCs w:val="18"/>
        </w:rPr>
        <w:t xml:space="preserve">§5.3  </w:t>
      </w:r>
      <w:r>
        <w:rPr>
          <w:rFonts w:ascii="Garamond" w:cs="Garamond" w:eastAsia="Garamond" w:hAnsi="Garamond"/>
          <w:b w:val="false"/>
          <w:bCs w:val="false"/>
          <w:i/>
          <w:iCs/>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color w:val="2a2520"/>
          <w:sz w:val="22"/>
          <w:szCs w:val="22"/>
        </w:rPr>
        <w:t xml:space="preserve">Where a parent or guardian who is the primary caregiver of a citizen child is removed from the Republic, the Republic accepts responsibility for that citizen child — housing and care. The Republic may not separate citizen children from their sole caregivers without providing for them. Where a removal order would deprive an Inhabitant child of their primary caregiver, that order is stayed pending resolution of custodial arrangements. **Article VI — Immigration and Residency**</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VI — Immigration and Residency</w:t>
      </w:r>
    </w:p>
    <w:p>
      <w:pPr>
        <w:spacing w:after="60" w:before="200"/>
        <w:ind w:left="431"/>
        <w:jc w:val="left"/>
      </w:pPr>
      <w:r>
        <w:rPr>
          <w:rFonts w:ascii="Courier New" w:cs="Courier New" w:eastAsia="Courier New" w:hAnsi="Courier New"/>
          <w:b/>
          <w:bCs/>
          <w:sz w:val="18"/>
          <w:szCs w:val="18"/>
        </w:rPr>
        <w:t xml:space="preserve">§6.1  </w:t>
      </w:r>
      <w:r>
        <w:rPr>
          <w:rFonts w:ascii="Garamond" w:cs="Garamond" w:eastAsia="Garamond" w:hAnsi="Garamond"/>
          <w:b w:val="false"/>
          <w:bCs w:val="false"/>
          <w:i/>
          <w:iCs/>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sz w:val="18"/>
          <w:szCs w:val="18"/>
        </w:rPr>
        <w:t xml:space="preserve">§6.2  </w:t>
      </w:r>
      <w:r>
        <w:rPr>
          <w:rFonts w:ascii="Garamond" w:cs="Garamond" w:eastAsia="Garamond" w:hAnsi="Garamond"/>
          <w:b w:val="false"/>
          <w:bCs w:val="false"/>
          <w:i/>
          <w:iCs/>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sz w:val="18"/>
          <w:szCs w:val="18"/>
        </w:rPr>
        <w:t xml:space="preserve">§6.3  </w:t>
      </w:r>
      <w:r>
        <w:rPr>
          <w:rFonts w:ascii="Garamond" w:cs="Garamond" w:eastAsia="Garamond" w:hAnsi="Garamond"/>
          <w:b w:val="false"/>
          <w:bCs w:val="false"/>
          <w:i/>
          <w:iCs/>
          <w:color w:val="1B2A4A"/>
          <w:sz w:val="22"/>
          <w:szCs w:val="22"/>
        </w:rPr>
        <w:t xml:space="preserve">Asylum and Protection</w:t>
      </w:r>
    </w:p>
    <w:p>
      <w:pPr>
        <w:spacing w:after="120" w:before="0"/>
        <w:ind w:left="431"/>
        <w:jc w:val="both"/>
      </w:pPr>
      <w:r>
        <w:rPr>
          <w:rFonts w:ascii="Garamond" w:cs="Garamond" w:eastAsia="Garamond" w:hAnsi="Garamond"/>
          <w:b w:val="false"/>
          <w:b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sz w:val="18"/>
          <w:szCs w:val="18"/>
        </w:rPr>
        <w:t xml:space="preserve">§6.3.a  </w:t>
      </w:r>
      <w:r>
        <w:rPr>
          <w:rFonts w:ascii="Garamond" w:cs="Garamond" w:eastAsia="Garamond" w:hAnsi="Garamond"/>
          <w:b w:val="false"/>
          <w:bCs w:val="false"/>
          <w:i/>
          <w:iCs/>
          <w:color w:val="1B2A4A"/>
          <w:sz w:val="22"/>
          <w:szCs w:val="22"/>
        </w:rPr>
        <w:t xml:space="preserve">Asylum Court</w:t>
      </w:r>
    </w:p>
    <w:p>
      <w:pPr>
        <w:spacing w:after="120" w:before="0"/>
        <w:ind w:left="431"/>
        <w:jc w:val="both"/>
      </w:pPr>
      <w:r>
        <w:rPr>
          <w:rFonts w:ascii="Garamond" w:cs="Garamond" w:eastAsia="Garamond" w:hAnsi="Garamond"/>
          <w:b w:val="false"/>
          <w:b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sz w:val="18"/>
          <w:szCs w:val="18"/>
        </w:rPr>
        <w:t xml:space="preserve">§6.3.b  </w:t>
      </w:r>
      <w:r>
        <w:rPr>
          <w:rFonts w:ascii="Garamond" w:cs="Garamond" w:eastAsia="Garamond" w:hAnsi="Garamond"/>
          <w:b w:val="false"/>
          <w:bCs w:val="false"/>
          <w:i/>
          <w:iCs/>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the period defined by statute following initial detention; mandatory periodic review at intervals defined by statute; statutory minimum conditions of humane treatment; and no detention beyond the maximum period defined by statute without periodic SC review. The Legislature may not define any of these periods in a manner that permits indefinite detention in effect.</w:t>
      </w:r>
    </w:p>
    <w:p>
      <w:pPr>
        <w:spacing w:after="60" w:before="200"/>
        <w:ind w:left="431"/>
        <w:jc w:val="left"/>
      </w:pPr>
      <w:r>
        <w:rPr>
          <w:rFonts w:ascii="Courier New" w:cs="Courier New" w:eastAsia="Courier New" w:hAnsi="Courier New"/>
          <w:b/>
          <w:bCs/>
          <w:sz w:val="18"/>
          <w:szCs w:val="18"/>
        </w:rPr>
        <w:t xml:space="preserve">§6.3.c  </w:t>
      </w:r>
      <w:r>
        <w:rPr>
          <w:rFonts w:ascii="Garamond" w:cs="Garamond" w:eastAsia="Garamond" w:hAnsi="Garamond"/>
          <w:b w:val="false"/>
          <w:bCs w:val="false"/>
          <w:i/>
          <w:iCs/>
          <w:color w:val="1B2A4A"/>
          <w:sz w:val="22"/>
          <w:szCs w:val="22"/>
        </w:rPr>
        <w:t xml:space="preserve">Unaccompanied Minors</w:t>
      </w:r>
    </w:p>
    <w:p>
      <w:pPr>
        <w:spacing w:after="120" w:before="0"/>
        <w:ind w:left="431"/>
        <w:jc w:val="both"/>
      </w:pPr>
      <w:r>
        <w:rPr>
          <w:rFonts w:ascii="Garamond" w:cs="Garamond" w:eastAsia="Garamond" w:hAnsi="Garamond"/>
          <w:b w:val="false"/>
          <w:b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 **Article VII — Elections**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VII — Elections and the National Vote</w:t>
      </w:r>
    </w:p>
    <w:p>
      <w:pPr>
        <w:spacing w:after="60" w:before="200"/>
        <w:ind w:left="431"/>
        <w:jc w:val="left"/>
      </w:pPr>
      <w:r>
        <w:rPr>
          <w:rFonts w:ascii="Courier New" w:cs="Courier New" w:eastAsia="Courier New" w:hAnsi="Courier New"/>
          <w:b/>
          <w:bCs/>
          <w:sz w:val="18"/>
          <w:szCs w:val="18"/>
        </w:rPr>
        <w:t xml:space="preserve">§7.1  </w:t>
      </w:r>
      <w:r>
        <w:rPr>
          <w:rFonts w:ascii="Garamond" w:cs="Garamond" w:eastAsia="Garamond" w:hAnsi="Garamond"/>
          <w:b w:val="false"/>
          <w:bCs w:val="false"/>
          <w:i/>
          <w:iCs/>
          <w:color w:val="1B2A4A"/>
          <w:sz w:val="22"/>
          <w:szCs w:val="22"/>
        </w:rPr>
        <w:t xml:space="preserve">The Right to Vote</w:t>
      </w:r>
    </w:p>
    <w:p>
      <w:pPr>
        <w:spacing w:after="120" w:before="0"/>
        <w:ind w:left="431"/>
        <w:jc w:val="both"/>
      </w:pPr>
      <w:r>
        <w:rPr>
          <w:rFonts w:ascii="Garamond" w:cs="Garamond" w:eastAsia="Garamond" w:hAnsi="Garamond"/>
          <w:b w:val="false"/>
          <w:bCs w:val="false"/>
          <w:color w:val="2a2520"/>
          <w:sz w:val="22"/>
          <w:szCs w:val="22"/>
        </w:rPr>
        <w:t xml:space="preserve">Every eligible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sz w:val="18"/>
          <w:szCs w:val="18"/>
        </w:rPr>
        <w:t xml:space="preserve">§7.2  </w:t>
      </w:r>
      <w:r>
        <w:rPr>
          <w:rFonts w:ascii="Garamond" w:cs="Garamond" w:eastAsia="Garamond" w:hAnsi="Garamond"/>
          <w:b w:val="false"/>
          <w:bCs w:val="false"/>
          <w:i/>
          <w:iCs/>
          <w:color w:val="1B2A4A"/>
          <w:sz w:val="22"/>
          <w:szCs w:val="22"/>
        </w:rPr>
        <w:t xml:space="preserve">Consular Election System</w:t>
      </w:r>
    </w:p>
    <w:p>
      <w:pPr>
        <w:spacing w:after="120" w:before="0"/>
        <w:ind w:left="431"/>
        <w:jc w:val="both"/>
      </w:pPr>
      <w:r>
        <w:rPr>
          <w:rFonts w:ascii="Garamond" w:cs="Garamond" w:eastAsia="Garamond" w:hAnsi="Garamond"/>
          <w:b w:val="false"/>
          <w:b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sz w:val="18"/>
          <w:szCs w:val="18"/>
        </w:rPr>
        <w:t xml:space="preserve">§7.2.a  </w:t>
      </w:r>
      <w:r>
        <w:rPr>
          <w:rFonts w:ascii="Garamond" w:cs="Garamond" w:eastAsia="Garamond" w:hAnsi="Garamond"/>
          <w:b w:val="false"/>
          <w:bCs w:val="false"/>
          <w:i/>
          <w:iCs/>
          <w:color w:val="1B2A4A"/>
          <w:sz w:val="22"/>
          <w:szCs w:val="22"/>
        </w:rPr>
        <w:t xml:space="preserve">State Plurality Requirement</w:t>
      </w:r>
    </w:p>
    <w:p>
      <w:pPr>
        <w:spacing w:after="120" w:before="0"/>
        <w:ind w:left="431"/>
        <w:jc w:val="both"/>
      </w:pPr>
      <w:r>
        <w:rPr>
          <w:rFonts w:ascii="Garamond" w:cs="Garamond" w:eastAsia="Garamond" w:hAnsi="Garamond"/>
          <w:b w:val="false"/>
          <w:b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pPr>
        <w:spacing w:after="60" w:before="200"/>
        <w:ind w:left="431"/>
        <w:jc w:val="left"/>
      </w:pPr>
      <w:r>
        <w:rPr>
          <w:rFonts w:ascii="Courier New" w:cs="Courier New" w:eastAsia="Courier New" w:hAnsi="Courier New"/>
          <w:b/>
          <w:bCs/>
          <w:sz w:val="18"/>
          <w:szCs w:val="18"/>
        </w:rPr>
        <w:t xml:space="preserve">§7.3  </w:t>
      </w:r>
      <w:r>
        <w:rPr>
          <w:rFonts w:ascii="Garamond" w:cs="Garamond" w:eastAsia="Garamond" w:hAnsi="Garamond"/>
          <w:b w:val="false"/>
          <w:bCs w:val="false"/>
          <w:i/>
          <w:iCs/>
          <w:color w:val="1B2A4A"/>
          <w:sz w:val="22"/>
          <w:szCs w:val="22"/>
        </w:rPr>
        <w:t xml:space="preserve">Federal Elections</w:t>
      </w:r>
    </w:p>
    <w:p>
      <w:pPr>
        <w:spacing w:after="120" w:before="0"/>
        <w:ind w:left="431"/>
        <w:jc w:val="both"/>
      </w:pPr>
      <w:r>
        <w:rPr>
          <w:rFonts w:ascii="Garamond" w:cs="Garamond" w:eastAsia="Garamond" w:hAnsi="Garamond"/>
          <w:b w:val="false"/>
          <w:b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All federal elections, referenda, and confirmation votes are administered by the Elections Panel using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its constitutional standards. 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full seated membership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the period defined by statute, not to exceed 14 days. No further postponement may be granted without a new Elections Panel finding of impossibility and a new 2/3 legislative determination. **Article VIII — Electoral Finance and Campaign Conduct**</w:t>
      </w:r>
    </w:p>
    <w:p>
      <w:pPr>
        <w:spacing w:after="60" w:before="200"/>
        <w:ind w:left="431"/>
        <w:jc w:val="left"/>
      </w:pPr>
      <w:r>
        <w:rPr>
          <w:rFonts w:ascii="Courier New" w:cs="Courier New" w:eastAsia="Courier New" w:hAnsi="Courier New"/>
          <w:b/>
          <w:bCs/>
          <w:sz w:val="18"/>
          <w:szCs w:val="18"/>
        </w:rPr>
        <w:t xml:space="preserve">§7.3.a  </w:t>
      </w:r>
      <w:r>
        <w:rPr>
          <w:rFonts w:ascii="Garamond" w:cs="Garamond" w:eastAsia="Garamond" w:hAnsi="Garamond"/>
          <w:b w:val="false"/>
          <w:bCs w:val="false"/>
          <w:i/>
          <w:iCs/>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color w:val="2a2520"/>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full seated membership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the period defined by statute, not to exceed 14 days. No further postponement may be granted without a new Elections Panel finding of impossibility and a new 2/3 legislative determination.</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VIII — Electoral Finance and Campaign Integrity</w:t>
      </w:r>
    </w:p>
    <w:p>
      <w:pPr>
        <w:spacing w:after="60" w:before="200"/>
        <w:ind w:left="431"/>
        <w:jc w:val="left"/>
      </w:pPr>
      <w:r>
        <w:rPr>
          <w:rFonts w:ascii="Courier New" w:cs="Courier New" w:eastAsia="Courier New" w:hAnsi="Courier New"/>
          <w:b/>
          <w:bCs/>
          <w:sz w:val="18"/>
          <w:szCs w:val="18"/>
        </w:rPr>
        <w:t xml:space="preserve">§8.1  </w:t>
      </w:r>
      <w:r>
        <w:rPr>
          <w:rFonts w:ascii="Garamond" w:cs="Garamond" w:eastAsia="Garamond" w:hAnsi="Garamond"/>
          <w:b w:val="false"/>
          <w:bCs w:val="false"/>
          <w:i/>
          <w:iCs/>
          <w:color w:val="1B2A4A"/>
          <w:sz w:val="22"/>
          <w:szCs w:val="22"/>
        </w:rPr>
        <w:t xml:space="preserve">Electoral Finance</w:t>
      </w:r>
    </w:p>
    <w:p>
      <w:pPr>
        <w:spacing w:after="120" w:before="0"/>
        <w:ind w:left="431"/>
        <w:jc w:val="both"/>
      </w:pPr>
      <w:r>
        <w:rPr>
          <w:rFonts w:ascii="Garamond" w:cs="Garamond" w:eastAsia="Garamond" w:hAnsi="Garamond"/>
          <w:b w:val="false"/>
          <w:bCs w:val="false"/>
          <w:color w:val="2a2520"/>
          <w:sz w:val="22"/>
          <w:szCs w:val="22"/>
        </w:rPr>
        <w:t xml:space="preserve">Electoral finance is regulated to prevent structural distortion of democratic accountability through concentrated financial influence. 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sz w:val="18"/>
          <w:szCs w:val="18"/>
        </w:rPr>
        <w:t xml:space="preserve">§8.2  </w:t>
      </w:r>
      <w:r>
        <w:rPr>
          <w:rFonts w:ascii="Garamond" w:cs="Garamond" w:eastAsia="Garamond" w:hAnsi="Garamond"/>
          <w:b w:val="false"/>
          <w:bCs w:val="false"/>
          <w:i/>
          <w:iCs/>
          <w:color w:val="1B2A4A"/>
          <w:sz w:val="22"/>
          <w:szCs w:val="22"/>
        </w:rPr>
        <w:t xml:space="preserve">Campaign Conduct</w:t>
      </w:r>
    </w:p>
    <w:p>
      <w:pPr>
        <w:spacing w:after="120" w:before="0"/>
        <w:ind w:left="431"/>
        <w:jc w:val="both"/>
      </w:pPr>
      <w:r>
        <w:rPr>
          <w:rFonts w:ascii="Garamond" w:cs="Garamond" w:eastAsia="Garamond" w:hAnsi="Garamond"/>
          <w:b w:val="false"/>
          <w:b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Characterization, emphasis, and contextual framing of voting records are protected expression.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sz w:val="18"/>
          <w:szCs w:val="18"/>
        </w:rPr>
        <w:t xml:space="preserve">§8.3  </w:t>
      </w:r>
      <w:r>
        <w:rPr>
          <w:rFonts w:ascii="Garamond" w:cs="Garamond" w:eastAsia="Garamond" w:hAnsi="Garamond"/>
          <w:b w:val="false"/>
          <w:bCs w:val="false"/>
          <w:i/>
          <w:iCs/>
          <w:color w:val="1B2A4A"/>
          <w:sz w:val="22"/>
          <w:szCs w:val="22"/>
        </w:rPr>
        <w:t xml:space="preserve">Public Campaign Financing</w:t>
      </w:r>
    </w:p>
    <w:p>
      <w:pPr>
        <w:spacing w:after="120" w:before="0"/>
        <w:ind w:left="431"/>
        <w:jc w:val="both"/>
      </w:pPr>
      <w:r>
        <w:rPr>
          <w:rFonts w:ascii="Garamond" w:cs="Garamond" w:eastAsia="Garamond" w:hAnsi="Garamond"/>
          <w:b w:val="false"/>
          <w:bCs w:val="false"/>
          <w:color w:val="2a2520"/>
          <w:sz w:val="22"/>
          <w:szCs w:val="22"/>
        </w:rPr>
        <w:t xml:space="preserve">The Republic maintains a publicly funded campaign financing system as an alternative to private fundraising. The system provides all registered candidates with equal baseline funding; no allocation may advantage incumbents or established political organizations. Candidates who accept public financing are subject to spending limits defined by statute. The Legislature may create a matching funds component amplifying small donations; matching thresholds, caps, and ratios must apply equally to all participating candidates. The Elections Panel administers disbursement and audits all campaign finance records within the period defined by statute following any election, not to exceed 90 days. Candidates who receive impermissible contributions must promptly report them and either return them to the contributor or remit them to the public campaign financing fund; the Legislature defines reporting timelines and procedures by statute. **Article IX — The Monitors**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IX — The Monitors</w:t>
      </w:r>
    </w:p>
    <w:p>
      <w:pPr>
        <w:spacing w:after="60" w:before="200"/>
        <w:ind w:left="431"/>
        <w:jc w:val="left"/>
      </w:pPr>
      <w:r>
        <w:rPr>
          <w:rFonts w:ascii="Courier New" w:cs="Courier New" w:eastAsia="Courier New" w:hAnsi="Courier New"/>
          <w:b/>
          <w:bCs/>
          <w:sz w:val="18"/>
          <w:szCs w:val="18"/>
        </w:rPr>
        <w:t xml:space="preserve">§9.1  </w:t>
      </w:r>
      <w:r>
        <w:rPr>
          <w:rFonts w:ascii="Garamond" w:cs="Garamond" w:eastAsia="Garamond" w:hAnsi="Garamond"/>
          <w:b w:val="false"/>
          <w:bCs w:val="false"/>
          <w:i/>
          <w:iCs/>
          <w:color w:val="1B2A4A"/>
          <w:sz w:val="22"/>
          <w:szCs w:val="22"/>
        </w:rPr>
        <w:t xml:space="preserve">Three Monitors</w:t>
      </w:r>
    </w:p>
    <w:p>
      <w:pPr>
        <w:spacing w:after="120" w:before="0"/>
        <w:ind w:left="431"/>
        <w:jc w:val="both"/>
      </w:pPr>
      <w:r>
        <w:rPr>
          <w:rFonts w:ascii="Garamond" w:cs="Garamond" w:eastAsia="Garamond" w:hAnsi="Garamond"/>
          <w:b w:val="false"/>
          <w:bCs w:val="false"/>
          <w:color w:val="2a2520"/>
          <w:sz w:val="22"/>
          <w:szCs w:val="22"/>
        </w:rPr>
        <w:t xml:space="preserve">The Republic maintains three constitutionally independent Monitors — Legislative (LM), Executive (EM), and Judicial (JM) — each selected by bodies other than those it oversees. The Monitors hold an information-only mandate: they publish findings but do not issue binding orders. Each Monitor General serves a 10-year non-renewable term with a constitutionally protected funding floor. Failure of a Monitor to act does not extinguish constitutional authority or suspend any constitutional obligation, unless this Constitution explicitly provides otherwise. The Monitors are the Republic's independent auditors. Their mandate is to observe constitutional processes, verify factual and legal compliance, and publish expert findings to the NRS. Monitor findings carry the authority of expert analysis — available to any party, given due weight, and not binding on any constitutional actor. No Monitor finding or assessment is a prerequisite for any legal proceeding, constitutional mechanism, or governmental function. Any constitutional officer, chamber, or body may request a focused assessment from any Monitor within that Monitor’s audit mandate, specifying a date by which the assessment is required. The Monitor publishes the assessment by the requested date where practicable; where this is not practicable, the Monitor publishes the reason and an estimated completion date within five days of receiving the request. Persistent non-responsiveness to reasonable requests may be published by the other two Monitors as a non-responsiveness finding to the NRS. A requesting party may proceed with any constitutional process whether or not a requested assessment has been published.</w:t>
      </w:r>
    </w:p>
    <w:p>
      <w:pPr>
        <w:spacing w:after="60" w:before="200"/>
        <w:ind w:left="431"/>
        <w:jc w:val="left"/>
      </w:pPr>
      <w:r>
        <w:rPr>
          <w:rFonts w:ascii="Courier New" w:cs="Courier New" w:eastAsia="Courier New" w:hAnsi="Courier New"/>
          <w:b/>
          <w:bCs/>
          <w:sz w:val="18"/>
          <w:szCs w:val="18"/>
        </w:rPr>
        <w:t xml:space="preserve">§9.1.a  </w:t>
      </w:r>
      <w:r>
        <w:rPr>
          <w:rFonts w:ascii="Garamond" w:cs="Garamond" w:eastAsia="Garamond" w:hAnsi="Garamond"/>
          <w:b w:val="false"/>
          <w:bCs w:val="false"/>
          <w:i/>
          <w:iCs/>
          <w:color w:val="1B2A4A"/>
          <w:sz w:val="22"/>
          <w:szCs w:val="22"/>
        </w:rPr>
        <w:t xml:space="preserve">The Legislative Monitor</w:t>
      </w:r>
    </w:p>
    <w:p>
      <w:pPr>
        <w:spacing w:after="120" w:before="0"/>
        <w:ind w:left="431"/>
        <w:jc w:val="both"/>
      </w:pPr>
      <w:r>
        <w:rPr>
          <w:rFonts w:ascii="Garamond" w:cs="Garamond" w:eastAsia="Garamond" w:hAnsi="Garamond"/>
          <w:b w:val="false"/>
          <w:b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sz w:val="18"/>
          <w:szCs w:val="18"/>
        </w:rPr>
        <w:t xml:space="preserve">§9.1.b  </w:t>
      </w:r>
      <w:r>
        <w:rPr>
          <w:rFonts w:ascii="Garamond" w:cs="Garamond" w:eastAsia="Garamond" w:hAnsi="Garamond"/>
          <w:b w:val="false"/>
          <w:bCs w:val="false"/>
          <w:i/>
          <w:iCs/>
          <w:color w:val="1B2A4A"/>
          <w:sz w:val="22"/>
          <w:szCs w:val="22"/>
        </w:rPr>
        <w:t xml:space="preserve">The Executive Monitor</w:t>
      </w:r>
    </w:p>
    <w:p>
      <w:pPr>
        <w:spacing w:after="120" w:before="0"/>
        <w:ind w:left="431"/>
        <w:jc w:val="both"/>
      </w:pPr>
      <w:r>
        <w:rPr>
          <w:rFonts w:ascii="Garamond" w:cs="Garamond" w:eastAsia="Garamond" w:hAnsi="Garamond"/>
          <w:b w:val="false"/>
          <w:bCs w:val="false"/>
          <w:color w:val="2a2520"/>
          <w:sz w:val="22"/>
          <w:szCs w:val="22"/>
        </w:rPr>
        <w:t xml:space="preserve">The EM audits both executives and the Monetary Authority. Annual responsibilities include: military compliance assessment covering whether tier authorizations were followed, whether the §2.3 intelligence warrant requirement was maintained, and whether fund certifications were observed,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sz w:val="18"/>
          <w:szCs w:val="18"/>
        </w:rPr>
        <w:t xml:space="preserve">§9.1.c  </w:t>
      </w:r>
      <w:r>
        <w:rPr>
          <w:rFonts w:ascii="Garamond" w:cs="Garamond" w:eastAsia="Garamond" w:hAnsi="Garamond"/>
          <w:b w:val="false"/>
          <w:bCs w:val="false"/>
          <w:i/>
          <w:iCs/>
          <w:color w:val="1B2A4A"/>
          <w:sz w:val="22"/>
          <w:szCs w:val="22"/>
        </w:rPr>
        <w:t xml:space="preserve">The Judicial Monitor</w:t>
      </w:r>
    </w:p>
    <w:p>
      <w:pPr>
        <w:spacing w:after="120" w:before="0"/>
        <w:ind w:left="431"/>
        <w:jc w:val="both"/>
      </w:pPr>
      <w:r>
        <w:rPr>
          <w:rFonts w:ascii="Garamond" w:cs="Garamond" w:eastAsia="Garamond" w:hAnsi="Garamond"/>
          <w:b w:val="false"/>
          <w:bCs w:val="false"/>
          <w:color w:val="2a2520"/>
          <w:sz w:val="22"/>
          <w:szCs w:val="22"/>
        </w:rPr>
        <w:t xml:space="preserve">The JM audits the courts for judicial scope and independence, and conducts annual audits of the Elections Panel for electoral integrity compliance, including the administration of the SC Candidate Registry and all constitutional pools. The JM reviews accommodation compact compliance, Associated Community compact compliance under Article XX, and Article XVI indigenous compact obligations. The JM's mandate is procedural neutrality: ensuring that all functions requiring independence from political bias are conducted under an impartial constitutional authority. The JM's lottery-based selection makes it the appropriate body to administer all constitutional lottery draws and candidate certification functions throughout the Republic.</w:t>
      </w:r>
    </w:p>
    <w:p>
      <w:pPr>
        <w:spacing w:after="60" w:before="200"/>
        <w:ind w:left="431"/>
        <w:jc w:val="left"/>
      </w:pPr>
      <w:r>
        <w:rPr>
          <w:rFonts w:ascii="Courier New" w:cs="Courier New" w:eastAsia="Courier New" w:hAnsi="Courier New"/>
          <w:b/>
          <w:bCs/>
          <w:sz w:val="18"/>
          <w:szCs w:val="18"/>
        </w:rPr>
        <w:t xml:space="preserve">§9.1.d  </w:t>
      </w:r>
      <w:r>
        <w:rPr>
          <w:rFonts w:ascii="Garamond" w:cs="Garamond" w:eastAsia="Garamond" w:hAnsi="Garamond"/>
          <w:b w:val="false"/>
          <w:bCs w:val="false"/>
          <w:i/>
          <w:i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sz w:val="18"/>
          <w:szCs w:val="18"/>
        </w:rPr>
        <w:t xml:space="preserve">§9.2  </w:t>
      </w:r>
      <w:r>
        <w:rPr>
          <w:rFonts w:ascii="Garamond" w:cs="Garamond" w:eastAsia="Garamond" w:hAnsi="Garamond"/>
          <w:b w:val="false"/>
          <w:bCs w:val="false"/>
          <w:i/>
          <w:iCs/>
          <w:color w:val="1B2A4A"/>
          <w:sz w:val="22"/>
          <w:szCs w:val="22"/>
        </w:rPr>
        <w:t xml:space="preserve">Selection and Independence</w:t>
      </w:r>
    </w:p>
    <w:p>
      <w:pPr>
        <w:spacing w:after="120" w:before="0"/>
        <w:ind w:left="431"/>
        <w:jc w:val="both"/>
      </w:pPr>
      <w:r>
        <w:rPr>
          <w:rFonts w:ascii="Garamond" w:cs="Garamond" w:eastAsia="Garamond" w:hAnsi="Garamond"/>
          <w:b w:val="false"/>
          <w:bCs w:val="false"/>
          <w:color w:val="2a2520"/>
          <w:sz w:val="22"/>
          <w:szCs w:val="22"/>
        </w:rPr>
        <w:t xml:space="preserve">Each Monitor is constituted through a process that structurally excludes the body being watched from selecting its watchers. The SC nominates the LM Monitor General, confirmed by national popular vote — the Legislature and both executives are entirely excluded. The Assembly Speaker and Senate Speaker jointly nominate the EM Monitor General, confirmed by national popular vote with JM audit findings on the nominee’s disclosure record published to the NRS before the vote — the executives are excluded and neither Speaker can act alone. The JM Monitor General is selected by public lottery from a pool of former judges audited by the LM and EM — the JM has no role in constituting or certifying its own candidate pool.</w:t>
      </w:r>
    </w:p>
    <w:p>
      <w:pPr>
        <w:spacing w:after="60" w:before="200"/>
        <w:ind w:left="431"/>
        <w:jc w:val="left"/>
      </w:pPr>
      <w:r>
        <w:rPr>
          <w:rFonts w:ascii="Courier New" w:cs="Courier New" w:eastAsia="Courier New" w:hAnsi="Courier New"/>
          <w:b/>
          <w:bCs/>
          <w:sz w:val="18"/>
          <w:szCs w:val="18"/>
        </w:rPr>
        <w:t xml:space="preserve">§9.3  </w:t>
      </w:r>
      <w:r>
        <w:rPr>
          <w:rFonts w:ascii="Garamond" w:cs="Garamond" w:eastAsia="Garamond" w:hAnsi="Garamond"/>
          <w:b w:val="false"/>
          <w:bCs w:val="false"/>
          <w:i/>
          <w:iCs/>
          <w:color w:val="1B2A4A"/>
          <w:sz w:val="22"/>
          <w:szCs w:val="22"/>
        </w:rPr>
        <w:t xml:space="preserve">Monitor General Selection</w:t>
      </w:r>
    </w:p>
    <w:p>
      <w:pPr>
        <w:spacing w:after="120" w:before="0"/>
        <w:ind w:left="431"/>
        <w:jc w:val="both"/>
      </w:pPr>
      <w:r>
        <w:rPr>
          <w:rFonts w:ascii="Garamond" w:cs="Garamond" w:eastAsia="Garamond" w:hAnsi="Garamond"/>
          <w:b w:val="false"/>
          <w:bCs w:val="false"/>
          <w:color w:val="2a2520"/>
          <w:sz w:val="22"/>
          <w:szCs w:val="22"/>
        </w:rPr>
        <w:t xml:space="preserve">The LM Monitor General is nominated by the SC from a pool of qualified candidates maintained by the Elections Panel and audited jointly by the EM and JM, sufficiently in advance under the timeline defined by statute to ensure confirmation is complete before the transition under §3.13; confirmed by national popular vote at the next federal electoral period following nomination, by simple majority of votes cast. The confirmed successor assumes full Monitor General authority at the precise moment the incumbent’s term concludes under §3.13. If the confirmation vote fails, the §9.1.d acting mechanism activates and the SC initiates a new nomination from the pool within 60 days. The EM Monitor General is nominated jointly by the Assembly Speaker and Senate Speaker from a pool of qualified candidates maintained by the Elections Panel and audited jointly by the LM and JM, sufficiently in advance under the timeline defined by statute under §3.13; confirmed by national popular vote at the next federal electoral period following nomination, by simple majority of votes cast, with JM audit findings on the nominee’s disclosure record published to the NRS before the vote. The same timing and failed-vote provisions apply. Where the Assembly Speaker and Senate Speaker fail to jointly nominate within 60 days of a vacancy being published to the NRS, the Senate selects a nominee from the pool directly by 2/3 vote of full seated membership; the selected nominee proceeds to national popular vote confirmation on the same terms; the executives remain excluded from nomination under both paths. The JM Monitor General is selected by public lottery under §9.12 from the JM Candidate Pool under §9.4.a maintained by the Elections Panel, conducted at the statutory timeline under §3.13, sufficiently in advance to ensure seamless succession. The lottery-selected candidate is confirmed by national popular vote at the next federal electoral period following the draw, by simple majority of votes cast; the confirmed candidate assumes office at the precise moment the incumbent’s term concludes under §3.13. If the confirmation vote fails, the §9.1.d acting mechanism activates and the JMC conducts a new lottery from the pool within 60 days; the same confirmation process applies to the new selection. All Monitor Generals serve 10-year non-renewable terms. No two Monitor General terms may begin within 18 months of each other, ensuring continuous institutional knowledge across offices. The Elections Panel administers all Monitor General confirmation votes as part of the regular federal electoral period ballot.</w:t>
      </w:r>
    </w:p>
    <w:p>
      <w:pPr>
        <w:spacing w:after="60" w:before="200"/>
        <w:ind w:left="431"/>
        <w:jc w:val="left"/>
      </w:pPr>
      <w:r>
        <w:rPr>
          <w:rFonts w:ascii="Courier New" w:cs="Courier New" w:eastAsia="Courier New" w:hAnsi="Courier New"/>
          <w:b/>
          <w:bCs/>
          <w:sz w:val="18"/>
          <w:szCs w:val="18"/>
        </w:rPr>
        <w:t xml:space="preserve">§9.4  </w:t>
      </w:r>
      <w:r>
        <w:rPr>
          <w:rFonts w:ascii="Garamond" w:cs="Garamond" w:eastAsia="Garamond" w:hAnsi="Garamond"/>
          <w:b w:val="false"/>
          <w:bCs w:val="false"/>
          <w:i/>
          <w:iCs/>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color w:val="2a2520"/>
          <w:sz w:val="22"/>
          <w:szCs w:val="22"/>
        </w:rPr>
        <w:t xml:space="preserve">The JM holds two constitutional mandates: as auditor, it monitors the court system, audits the Elections Panel’s administration of the SC Candidate Registry,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the period defined by statute, not to exceed 30 days.</w:t>
      </w:r>
    </w:p>
    <w:p>
      <w:pPr>
        <w:spacing w:after="60" w:before="200"/>
        <w:ind w:left="431"/>
        <w:jc w:val="left"/>
      </w:pPr>
      <w:r>
        <w:rPr>
          <w:rFonts w:ascii="Courier New" w:cs="Courier New" w:eastAsia="Courier New" w:hAnsi="Courier New"/>
          <w:b/>
          <w:bCs/>
          <w:sz w:val="18"/>
          <w:szCs w:val="18"/>
        </w:rPr>
        <w:t xml:space="preserve">§9.4.a  </w:t>
      </w:r>
      <w:r>
        <w:rPr>
          <w:rFonts w:ascii="Garamond" w:cs="Garamond" w:eastAsia="Garamond" w:hAnsi="Garamond"/>
          <w:b w:val="false"/>
          <w:bCs w:val="false"/>
          <w:i/>
          <w:iCs/>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sz w:val="18"/>
          <w:szCs w:val="18"/>
        </w:rPr>
        <w:t xml:space="preserve">§9.4.b  </w:t>
      </w:r>
      <w:r>
        <w:rPr>
          <w:rFonts w:ascii="Garamond" w:cs="Garamond" w:eastAsia="Garamond" w:hAnsi="Garamond"/>
          <w:b w:val="false"/>
          <w:bCs w:val="false"/>
          <w:i/>
          <w:iCs/>
          <w:color w:val="1B2A4A"/>
          <w:sz w:val="22"/>
          <w:szCs w:val="22"/>
        </w:rPr>
        <w:t xml:space="preserve">Supreme Court Candidate Registry</w:t>
      </w:r>
    </w:p>
    <w:p>
      <w:pPr>
        <w:spacing w:after="120" w:before="0"/>
        <w:ind w:left="431"/>
        <w:jc w:val="both"/>
      </w:pPr>
      <w:r>
        <w:rPr>
          <w:rFonts w:ascii="Garamond" w:cs="Garamond" w:eastAsia="Garamond" w:hAnsi="Garamond"/>
          <w:b w:val="false"/>
          <w:bCs w:val="false"/>
          <w:color w:val="2a2520"/>
          <w:sz w:val="22"/>
          <w:szCs w:val="22"/>
        </w:rPr>
        <w:t xml:space="preserve">The Elections Panel maintains the standing SC Candidate Registry.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SC Candidate Registry;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sz w:val="18"/>
          <w:szCs w:val="18"/>
        </w:rPr>
        <w:t xml:space="preserve">§9.5  </w:t>
      </w:r>
      <w:r>
        <w:rPr>
          <w:rFonts w:ascii="Garamond" w:cs="Garamond" w:eastAsia="Garamond" w:hAnsi="Garamond"/>
          <w:b w:val="false"/>
          <w:bCs w:val="false"/>
          <w:i/>
          <w:iCs/>
          <w:color w:val="1B2A4A"/>
          <w:sz w:val="22"/>
          <w:szCs w:val="22"/>
        </w:rPr>
        <w:t xml:space="preserve">Monitor General Removal</w:t>
      </w:r>
    </w:p>
    <w:p>
      <w:pPr>
        <w:spacing w:after="120" w:before="0"/>
        <w:ind w:left="431"/>
        <w:jc w:val="both"/>
      </w:pPr>
      <w:r>
        <w:rPr>
          <w:rFonts w:ascii="Garamond" w:cs="Garamond" w:eastAsia="Garamond" w:hAnsi="Garamond"/>
          <w:b w:val="false"/>
          <w:b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sz w:val="18"/>
          <w:szCs w:val="18"/>
        </w:rPr>
        <w:t xml:space="preserve">§9.6  </w:t>
      </w:r>
      <w:r>
        <w:rPr>
          <w:rFonts w:ascii="Garamond" w:cs="Garamond" w:eastAsia="Garamond" w:hAnsi="Garamond"/>
          <w:b w:val="false"/>
          <w:bCs w:val="false"/>
          <w:i/>
          <w:iCs/>
          <w:color w:val="1B2A4A"/>
          <w:sz w:val="22"/>
          <w:szCs w:val="22"/>
        </w:rPr>
        <w:t xml:space="preserve">Monitor Operations</w:t>
      </w:r>
    </w:p>
    <w:p>
      <w:pPr>
        <w:spacing w:after="120" w:before="0"/>
        <w:ind w:left="431"/>
        <w:jc w:val="both"/>
      </w:pPr>
      <w:r>
        <w:rPr>
          <w:rFonts w:ascii="Garamond" w:cs="Garamond" w:eastAsia="Garamond" w:hAnsi="Garamond"/>
          <w:b w:val="false"/>
          <w:b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60" w:before="200"/>
        <w:ind w:left="431"/>
        <w:jc w:val="left"/>
      </w:pPr>
      <w:r>
        <w:rPr>
          <w:rFonts w:ascii="Courier New" w:cs="Courier New" w:eastAsia="Courier New" w:hAnsi="Courier New"/>
          <w:b/>
          <w:bCs/>
          <w:sz w:val="18"/>
          <w:szCs w:val="18"/>
        </w:rPr>
        <w:t xml:space="preserve">§9.9  </w:t>
      </w:r>
      <w:r>
        <w:rPr>
          <w:rFonts w:ascii="Garamond" w:cs="Garamond" w:eastAsia="Garamond" w:hAnsi="Garamond"/>
          <w:b w:val="false"/>
          <w:bCs w:val="false"/>
          <w:i/>
          <w:iCs/>
          <w:color w:val="1B2A4A"/>
          <w:sz w:val="22"/>
          <w:szCs w:val="22"/>
        </w:rPr>
        <w:t xml:space="preserve">Removal Grounds Review</w:t>
      </w:r>
    </w:p>
    <w:p>
      <w:pPr>
        <w:spacing w:after="120" w:before="0"/>
        <w:ind w:left="431"/>
        <w:jc w:val="both"/>
      </w:pPr>
      <w:r>
        <w:rPr>
          <w:rFonts w:ascii="Garamond" w:cs="Garamond" w:eastAsia="Garamond" w:hAnsi="Garamond"/>
          <w:b w:val="false"/>
          <w:bCs w:val="false"/>
          <w:color w:val="2a2520"/>
          <w:sz w:val="22"/>
          <w:szCs w:val="22"/>
        </w:rPr>
        <w:t xml:space="preserve">To initiate a standard track removal vote under §9.14, the charging party — a concurrent resolution of 1/3 of either chamber, or two of the three Monitors jointly — must file stated grounds with the SC. The SC determines within 14 days whether the stated grounds constitute at least one statutory removal category for the subject office as defined by the Legislature. If grounds are confirmed, duty suspension activates immediately and the Legislature may proceed to a removal vote. If grounds are not confirmed: the process closes and may not be reinitiated on the same or substantially similar grounds within six months. The SC reviews constitutional category only — it does not assess the factual merits or credibility of the underlying allegations. No per-proceeding panel is required; the SC performs this function directly. The Legislature defines the enumerated removal categories for each constitutionally confirmed office by statute; no removal vote may proceed without the SC’s categorical confirmation under this section. Where the SC fails to publish its determination within 14 days, the stated grounds are deemed confirmed by constitutional operation and duty suspension activates immediately; the Legislature may proceed to a removal vote as if grounds had been confirmed.</w:t>
      </w:r>
    </w:p>
    <w:p>
      <w:pPr>
        <w:spacing w:after="60" w:before="200"/>
        <w:ind w:left="431"/>
        <w:jc w:val="left"/>
      </w:pPr>
      <w:r>
        <w:rPr>
          <w:rFonts w:ascii="Courier New" w:cs="Courier New" w:eastAsia="Courier New" w:hAnsi="Courier New"/>
          <w:b/>
          <w:bCs/>
          <w:sz w:val="18"/>
          <w:szCs w:val="18"/>
        </w:rPr>
        <w:t xml:space="preserve">§9.10  </w:t>
      </w:r>
      <w:r>
        <w:rPr>
          <w:rFonts w:ascii="Garamond" w:cs="Garamond" w:eastAsia="Garamond" w:hAnsi="Garamond"/>
          <w:b w:val="false"/>
          <w:bCs w:val="false"/>
          <w:i/>
          <w:iCs/>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color w:val="2a2520"/>
          <w:sz w:val="22"/>
          <w:szCs w:val="22"/>
        </w:rPr>
        <w:t xml:space="preserve">The annual appropriation for each Monitor, the Elections Panel, and the NRS Panel may not fall below the inflation-adjusted equivalent of the prior fiscal year's funding level without a 2/3 vote of full seated membership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sz w:val="18"/>
          <w:szCs w:val="18"/>
        </w:rPr>
        <w:t xml:space="preserve">§9.11  </w:t>
      </w:r>
      <w:r>
        <w:rPr>
          <w:rFonts w:ascii="Garamond" w:cs="Garamond" w:eastAsia="Garamond" w:hAnsi="Garamond"/>
          <w:b w:val="false"/>
          <w:bCs w:val="false"/>
          <w:i/>
          <w:iCs/>
          <w:color w:val="1B2A4A"/>
          <w:sz w:val="22"/>
          <w:szCs w:val="22"/>
        </w:rPr>
        <w:t xml:space="preserve">Joint Monitor Council</w:t>
      </w:r>
    </w:p>
    <w:p>
      <w:pPr>
        <w:spacing w:after="120" w:before="0"/>
        <w:ind w:left="431"/>
        <w:jc w:val="both"/>
      </w:pPr>
      <w:r>
        <w:rPr>
          <w:rFonts w:ascii="Garamond" w:cs="Garamond" w:eastAsia="Garamond" w:hAnsi="Garamond"/>
          <w:b w:val="false"/>
          <w:b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sz w:val="18"/>
          <w:szCs w:val="18"/>
        </w:rPr>
        <w:t xml:space="preserve">§9.11.a  </w:t>
      </w:r>
      <w:r>
        <w:rPr>
          <w:rFonts w:ascii="Garamond" w:cs="Garamond" w:eastAsia="Garamond" w:hAnsi="Garamond"/>
          <w:b w:val="false"/>
          <w:bCs w:val="false"/>
          <w:i/>
          <w:i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sz w:val="18"/>
          <w:szCs w:val="18"/>
        </w:rPr>
        <w:t xml:space="preserve">§9.12  </w:t>
      </w:r>
      <w:r>
        <w:rPr>
          <w:rFonts w:ascii="Garamond" w:cs="Garamond" w:eastAsia="Garamond" w:hAnsi="Garamond"/>
          <w:b w:val="false"/>
          <w:bCs w:val="false"/>
          <w:i/>
          <w:iCs/>
          <w:color w:val="1B2A4A"/>
          <w:sz w:val="22"/>
          <w:szCs w:val="22"/>
        </w:rPr>
        <w:t xml:space="preserve">Constitutional Pool Framework</w:t>
      </w:r>
    </w:p>
    <w:p>
      <w:pPr>
        <w:spacing w:after="120" w:before="0"/>
        <w:ind w:left="431"/>
        <w:jc w:val="both"/>
      </w:pPr>
      <w:r>
        <w:rPr>
          <w:rFonts w:ascii="Garamond" w:cs="Garamond" w:eastAsia="Garamond" w:hAnsi="Garamond"/>
          <w:b w:val="false"/>
          <w:bCs w:val="false"/>
          <w:color w:val="2a2520"/>
          <w:sz w:val="22"/>
          <w:szCs w:val="22"/>
        </w:rPr>
        <w:t xml:space="preserve">The Elections Panel maintains all constitutional candidate registries and pools as the administrative keeper of record. The Elections Panel receives applications, stores records, provides public access via the NRS, and enters qualifying applicants into the relevant registry or pool by applying the published qualification requirements. The relevant Monitor’s ongoing audit encompasses the Elections Panel’s administration of each pool and registry; audit findings are published to the NRS. Any applicant excluded may appeal to the SC within 14 days on the sole ground that the qualification requirements were misapplied. Pool records and audit findings are public NRS records at all times. The Joint Monitor Council conducts the draw in a public session, certifies the result jointly, and publishes it to the NRS. Where selection is by deliberate nomination, the named officer nominates from pool members. Where confirmation is required, the Senate must act within the period defined by the establishing provision; failure to confirm within that period is a constitutional compliance breach. The JM monitors all constitutional pools annually and publishes a status report.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and a designation is made under the ordinary acting mechanism; this fallback applies only to judicial and Monitor pools.</w:t>
      </w:r>
    </w:p>
    <w:p>
      <w:pPr>
        <w:spacing w:after="60" w:before="200"/>
        <w:ind w:left="431"/>
        <w:jc w:val="left"/>
      </w:pPr>
      <w:r>
        <w:rPr>
          <w:rFonts w:ascii="Courier New" w:cs="Courier New" w:eastAsia="Courier New" w:hAnsi="Courier New"/>
          <w:b/>
          <w:bCs/>
          <w:sz w:val="18"/>
          <w:szCs w:val="18"/>
        </w:rPr>
        <w:t xml:space="preserve">§9.13  </w:t>
      </w:r>
      <w:r>
        <w:rPr>
          <w:rFonts w:ascii="Garamond" w:cs="Garamond" w:eastAsia="Garamond" w:hAnsi="Garamond"/>
          <w:b w:val="false"/>
          <w:bCs w:val="false"/>
          <w:i/>
          <w:iCs/>
          <w:color w:val="1B2A4A"/>
          <w:sz w:val="22"/>
          <w:szCs w:val="22"/>
        </w:rPr>
        <w:t xml:space="preserve">Registry Integrity Standards</w:t>
      </w:r>
    </w:p>
    <w:p>
      <w:pPr>
        <w:spacing w:after="120" w:before="0"/>
        <w:ind w:left="431"/>
        <w:jc w:val="both"/>
      </w:pPr>
      <w:r>
        <w:rPr>
          <w:rFonts w:ascii="Garamond" w:cs="Garamond" w:eastAsia="Garamond" w:hAnsi="Garamond"/>
          <w:b w:val="false"/>
          <w:b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w:t>
      </w:r>
    </w:p>
    <w:p>
      <w:pPr>
        <w:spacing w:after="60" w:before="200"/>
        <w:ind w:left="431"/>
        <w:jc w:val="left"/>
      </w:pPr>
      <w:r>
        <w:rPr>
          <w:rFonts w:ascii="Courier New" w:cs="Courier New" w:eastAsia="Courier New" w:hAnsi="Courier New"/>
          <w:b/>
          <w:bCs/>
          <w:sz w:val="18"/>
          <w:szCs w:val="18"/>
        </w:rPr>
        <w:t xml:space="preserve">§9.14  </w:t>
      </w:r>
      <w:r>
        <w:rPr>
          <w:rFonts w:ascii="Garamond" w:cs="Garamond" w:eastAsia="Garamond" w:hAnsi="Garamond"/>
          <w:b w:val="false"/>
          <w:bCs w:val="false"/>
          <w:i/>
          <w:iCs/>
          <w:color w:val="1B2A4A"/>
          <w:sz w:val="22"/>
          <w:szCs w:val="22"/>
        </w:rPr>
        <w:t xml:space="preserve">Constitutional Officer Removal Framework</w:t>
      </w:r>
    </w:p>
    <w:p>
      <w:pPr>
        <w:spacing w:after="120" w:before="0"/>
        <w:ind w:left="431"/>
        <w:jc w:val="both"/>
      </w:pPr>
      <w:r>
        <w:rPr>
          <w:rFonts w:ascii="Garamond" w:cs="Garamond" w:eastAsia="Garamond" w:hAnsi="Garamond"/>
          <w:b w:val="false"/>
          <w:bCs w:val="false"/>
          <w:color w:val="2a2520"/>
          <w:sz w:val="22"/>
          <w:szCs w:val="22"/>
        </w:rPr>
        <w:t xml:space="preserve">This section governs for-cause removal of all constitutionally confirmed independent officers except Supreme Court justices (§4.3.b) and elected executives. Two removal tracks are available. Under the Standard Track, the charging party files stated grounds with the SC under §9.9; the SC confirms grounds within 14 days; duty suspension activates immediately on confirmation; removal requires a 2/3 vote of both chambers in a concurrent vote; no removal vote may be held within 180 days of a major national election without prior SC review within 48 hours. Under the Judicial Track, where two of the three Monitors jointly assess and report for-cause grounds and petition the SC, the SC determines within 30 days whether the certified grounds constitute sufficient cause for suspension; where the SC fails to rule within 30 days, cause is deemed found by constitutional operation; if cause is found or deemed found, the officer is suspended and the most senior deputy acts in the interim; the Senate has 60 days to hold a removal vote, with 3/5 required for permanent removal; a vote failing 3/5 reinstates the officer and closes the process; where the Senate fails to vote within 60 days, the matter is placed before the next federal electoral period ballot or a Legislature-set special election with a minimum 90-day notice period; removal by election requires 60% of votes cast. The Judicial Track is available where the Standard Track’s legislative threshold appears unreachable due to demonstrated political gridlock. Officers subject to this framework include the Monitor Generals and any other officers whose selection process is established by this Constitution rather than by statute. Officers of independent agencies established under §3.9 are not subject to this framework; their removal is governed by the statute establishing the relevant agency, which must preserve the for-cause removal principle. Provisions governing specific offices may cross-reference this section without restating its terms. **Article X — The National Record System**</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sz w:val="18"/>
          <w:szCs w:val="18"/>
        </w:rPr>
        <w:t xml:space="preserve">§10.1  </w:t>
      </w:r>
      <w:r>
        <w:rPr>
          <w:rFonts w:ascii="Garamond" w:cs="Garamond" w:eastAsia="Garamond" w:hAnsi="Garamond"/>
          <w:b w:val="false"/>
          <w:bCs w:val="false"/>
          <w:i/>
          <w:iCs/>
          <w:color w:val="1B2A4A"/>
          <w:sz w:val="22"/>
          <w:szCs w:val="22"/>
        </w:rPr>
        <w:t xml:space="preserve">National Record System</w:t>
      </w:r>
    </w:p>
    <w:p>
      <w:pPr>
        <w:spacing w:after="120" w:before="0"/>
        <w:ind w:left="431"/>
        <w:jc w:val="both"/>
      </w:pPr>
      <w:r>
        <w:rPr>
          <w:rFonts w:ascii="Garamond" w:cs="Garamond" w:eastAsia="Garamond" w:hAnsi="Garamond"/>
          <w:b w:val="false"/>
          <w:b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authority of this Constitution is published to the NRS as a permanent record. No provision of this Constitution need state this obligation individually; it applies universally by operation of this section. Where this Constitution specifies a publication timeline, that timeline governs; in all other cases, publication occurs at or before the effective moment of the act. Records may not be deleted, altered, or reclassified after publication; corrections are published as new entries alongside the original. Where the NRS Panel determines by unanimous vote that a record was published in error and its continued availability poses an imminent, specific, and documented threat to individual safety, the NRS Panel may temporarily restrict access for a period not to exceed 30 days while the SC reviews the restriction; the SC must rule within 14 days; the record is permanently restored unless the SC confirms the restriction on the narrowest possible grounds. The original record timestamp and the restriction record both remain as permanent NRS entries. The NRS must remain fully functional in the event of localized technical failure — no single point of failure is constitutionally acceptable. The Legislature defines technical standards by statute. The NRS includes a permanent historical archive of all prior legislative acts, executive orders, judicial decisions, and government documents dating to the Republic's founding. Records published to the NRS by any jurisdiction within the Republic are recognized as authentic by all other jurisdictions without re-certification. Monitor reports are permanently exempt from classification. Citizens may submit corrections or context to any NRS record through a public mechanism maintained by the LM; submissions are published alongside the original after accuracy review. The NRS is the record of government, not a condition of it. Government acts take legal effect from the moment of issuance regardless of NRS status; the publication obligation applies from the moment the NRS is restored. The JM maintains a continuously operating parallel authentication system, physically and logistically independent of the NRS, capable of authenticating and preserving all constitutional acts without NRS connectivity. This system operates in parallel at all times — not merely as a contingency — and records all authenticated acts with full constitutional effect from the moment of their issuance. Upon NRS restoration, all parallel system records migrate to the NRS as permanent records with their original issuance timestamps. Where the NRS has not been restored within 180 days, the parallel system becomes the constitutional record of the Republic; the Legislature must by statute establish permanent restoration obligations and timelines within 90 days of that threshold. The Legislature defines the technical specifications, security standards, and operational parameters of the parallel system by statute; the constitutional obligation to maintain it is absolute and its funding floor follows the NRS funding floor in this section. Funding for the NRS may not be reduced below the prior year’s level without a 2/3 vote of full seated membership of both chambers. Classification used to conceal a constitutional violation or illegal order is itself a constitutional offense.</w:t>
      </w:r>
    </w:p>
    <w:p>
      <w:pPr>
        <w:spacing w:after="60" w:before="200"/>
        <w:ind w:left="431"/>
        <w:jc w:val="left"/>
      </w:pPr>
      <w:r>
        <w:rPr>
          <w:rFonts w:ascii="Courier New" w:cs="Courier New" w:eastAsia="Courier New" w:hAnsi="Courier New"/>
          <w:b/>
          <w:bCs/>
          <w:sz w:val="18"/>
          <w:szCs w:val="18"/>
        </w:rPr>
        <w:t xml:space="preserve">§10.2  </w:t>
      </w:r>
      <w:r>
        <w:rPr>
          <w:rFonts w:ascii="Garamond" w:cs="Garamond" w:eastAsia="Garamond" w:hAnsi="Garamond"/>
          <w:b w:val="false"/>
          <w:bCs w:val="false"/>
          <w:i/>
          <w:iCs/>
          <w:color w:val="1B2A4A"/>
          <w:sz w:val="22"/>
          <w:szCs w:val="22"/>
        </w:rPr>
        <w:t xml:space="preserve">NRS and Electoral Integrity</w:t>
      </w:r>
    </w:p>
    <w:p>
      <w:pPr>
        <w:spacing w:after="120" w:before="0"/>
        <w:ind w:left="431"/>
        <w:jc w:val="both"/>
      </w:pPr>
      <w:r>
        <w:rPr>
          <w:rFonts w:ascii="Garamond" w:cs="Garamond" w:eastAsia="Garamond" w:hAnsi="Garamond"/>
          <w:b w:val="false"/>
          <w:b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sz w:val="18"/>
          <w:szCs w:val="18"/>
        </w:rPr>
        <w:t xml:space="preserve">§10.3  </w:t>
      </w:r>
      <w:r>
        <w:rPr>
          <w:rFonts w:ascii="Garamond" w:cs="Garamond" w:eastAsia="Garamond" w:hAnsi="Garamond"/>
          <w:b w:val="false"/>
          <w:bCs w:val="false"/>
          <w:i/>
          <w:iCs/>
          <w:color w:val="1B2A4A"/>
          <w:sz w:val="22"/>
          <w:szCs w:val="22"/>
        </w:rPr>
        <w:t xml:space="preserve">Classification Criteria</w:t>
      </w:r>
    </w:p>
    <w:p>
      <w:pPr>
        <w:spacing w:after="120" w:before="0"/>
        <w:ind w:left="431"/>
        <w:jc w:val="both"/>
      </w:pPr>
      <w:r>
        <w:rPr>
          <w:rFonts w:ascii="Garamond" w:cs="Garamond" w:eastAsia="Garamond" w:hAnsi="Garamond"/>
          <w:b w:val="false"/>
          <w:b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sz w:val="18"/>
          <w:szCs w:val="18"/>
        </w:rPr>
        <w:t xml:space="preserve">§10.3.a  </w:t>
      </w:r>
      <w:r>
        <w:rPr>
          <w:rFonts w:ascii="Garamond" w:cs="Garamond" w:eastAsia="Garamond" w:hAnsi="Garamond"/>
          <w:b w:val="false"/>
          <w:bCs w:val="false"/>
          <w:i/>
          <w:iCs/>
          <w:color w:val="1B2A4A"/>
          <w:sz w:val="22"/>
          <w:szCs w:val="22"/>
        </w:rPr>
        <w:t xml:space="preserve">Duration Framework</w:t>
      </w:r>
    </w:p>
    <w:p>
      <w:pPr>
        <w:spacing w:after="120" w:before="0"/>
        <w:ind w:left="431"/>
        <w:jc w:val="both"/>
      </w:pPr>
      <w:r>
        <w:rPr>
          <w:rFonts w:ascii="Garamond" w:cs="Garamond" w:eastAsia="Garamond" w:hAnsi="Garamond"/>
          <w:b w:val="false"/>
          <w:b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 **Article XI — NRS Panel and Elections Panel**</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 — The NRS Panel and Elections Panel</w:t>
      </w:r>
    </w:p>
    <w:p>
      <w:pPr>
        <w:spacing w:after="60" w:before="200"/>
        <w:ind w:left="431"/>
        <w:jc w:val="left"/>
      </w:pPr>
      <w:r>
        <w:rPr>
          <w:rFonts w:ascii="Courier New" w:cs="Courier New" w:eastAsia="Courier New" w:hAnsi="Courier New"/>
          <w:b/>
          <w:bCs/>
          <w:sz w:val="18"/>
          <w:szCs w:val="18"/>
        </w:rPr>
        <w:t xml:space="preserve">§11.1  </w:t>
      </w:r>
      <w:r>
        <w:rPr>
          <w:rFonts w:ascii="Garamond" w:cs="Garamond" w:eastAsia="Garamond" w:hAnsi="Garamond"/>
          <w:b w:val="false"/>
          <w:bCs w:val="false"/>
          <w:i/>
          <w:iCs/>
          <w:color w:val="1B2A4A"/>
          <w:sz w:val="22"/>
          <w:szCs w:val="22"/>
        </w:rPr>
        <w:t xml:space="preserve">NRS Panel and Elections Panel</w:t>
      </w:r>
    </w:p>
    <w:p>
      <w:pPr>
        <w:spacing w:after="120" w:before="0"/>
        <w:ind w:left="431"/>
        <w:jc w:val="both"/>
      </w:pPr>
      <w:r>
        <w:rPr>
          <w:rFonts w:ascii="Garamond" w:cs="Garamond" w:eastAsia="Garamond" w:hAnsi="Garamond"/>
          <w:b w:val="false"/>
          <w:b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operates the National Voting System and administers all federal elections, referenda, and confirmation votes. Each panel is operationally independent of the other and of both executives and the Legislature in the exercise of its functions; neither panel may direct the other.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neither panel holds legislative, executive, judicial, or policy authority.</w:t>
      </w:r>
    </w:p>
    <w:p>
      <w:pPr>
        <w:spacing w:after="60" w:before="200"/>
        <w:ind w:left="431"/>
        <w:jc w:val="left"/>
      </w:pPr>
      <w:r>
        <w:rPr>
          <w:rFonts w:ascii="Courier New" w:cs="Courier New" w:eastAsia="Courier New" w:hAnsi="Courier New"/>
          <w:b/>
          <w:bCs/>
          <w:sz w:val="18"/>
          <w:szCs w:val="18"/>
        </w:rPr>
        <w:t xml:space="preserve">§11.2  </w:t>
      </w:r>
      <w:r>
        <w:rPr>
          <w:rFonts w:ascii="Garamond" w:cs="Garamond" w:eastAsia="Garamond" w:hAnsi="Garamond"/>
          <w:b w:val="false"/>
          <w:bCs w:val="false"/>
          <w:i/>
          <w:iCs/>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Every citizen holds the right to vote in federal elections.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States may offer early voting, mail-in ballots, and alternative participation methods provided all methods connect to the NVS and meet its constitutional standards. No State may reduce NVS access, functionality, or availability within its territory.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sz w:val="18"/>
          <w:szCs w:val="18"/>
        </w:rPr>
        <w:t xml:space="preserve">§11.3  </w:t>
      </w:r>
      <w:r>
        <w:rPr>
          <w:rFonts w:ascii="Garamond" w:cs="Garamond" w:eastAsia="Garamond" w:hAnsi="Garamond"/>
          <w:b w:val="false"/>
          <w:bCs w:val="false"/>
          <w:i/>
          <w:iCs/>
          <w:color w:val="1B2A4A"/>
          <w:sz w:val="22"/>
          <w:szCs w:val="22"/>
        </w:rPr>
        <w:t xml:space="preserve">Panel Emergency Authority</w:t>
      </w:r>
    </w:p>
    <w:p>
      <w:pPr>
        <w:spacing w:after="120" w:before="0"/>
        <w:ind w:left="431"/>
        <w:jc w:val="both"/>
      </w:pPr>
      <w:r>
        <w:rPr>
          <w:rFonts w:ascii="Garamond" w:cs="Garamond" w:eastAsia="Garamond" w:hAnsi="Garamond"/>
          <w:b w:val="false"/>
          <w:b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 **Article XII — Social State and Economic Rights**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XII — Social State and Economic Rights</w:t>
      </w:r>
    </w:p>
    <w:p>
      <w:pPr>
        <w:spacing w:after="60" w:before="200"/>
        <w:ind w:left="431"/>
        <w:jc w:val="left"/>
      </w:pPr>
      <w:r>
        <w:rPr>
          <w:rFonts w:ascii="Courier New" w:cs="Courier New" w:eastAsia="Courier New" w:hAnsi="Courier New"/>
          <w:b/>
          <w:bCs/>
          <w:sz w:val="18"/>
          <w:szCs w:val="18"/>
        </w:rPr>
        <w:t xml:space="preserve">§12.1  </w:t>
      </w:r>
      <w:r>
        <w:rPr>
          <w:rFonts w:ascii="Garamond" w:cs="Garamond" w:eastAsia="Garamond" w:hAnsi="Garamond"/>
          <w:b w:val="false"/>
          <w:bCs w:val="false"/>
          <w:i/>
          <w:iCs/>
          <w:color w:val="1B2A4A"/>
          <w:sz w:val="22"/>
          <w:szCs w:val="22"/>
        </w:rPr>
        <w:t xml:space="preserve">The Social State</w:t>
      </w:r>
    </w:p>
    <w:p>
      <w:pPr>
        <w:spacing w:after="120" w:before="0"/>
        <w:ind w:left="431"/>
        <w:jc w:val="both"/>
      </w:pPr>
      <w:r>
        <w:rPr>
          <w:rFonts w:ascii="Garamond" w:cs="Garamond" w:eastAsia="Garamond" w:hAnsi="Garamond"/>
          <w:b w:val="false"/>
          <w:b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pPr>
        <w:spacing w:after="60" w:before="200"/>
        <w:ind w:left="431"/>
        <w:jc w:val="left"/>
      </w:pPr>
      <w:r>
        <w:rPr>
          <w:rFonts w:ascii="Courier New" w:cs="Courier New" w:eastAsia="Courier New" w:hAnsi="Courier New"/>
          <w:b/>
          <w:bCs/>
          <w:sz w:val="18"/>
          <w:szCs w:val="18"/>
        </w:rPr>
        <w:t xml:space="preserve">§12.1.a  </w:t>
      </w:r>
      <w:r>
        <w:rPr>
          <w:rFonts w:ascii="Garamond" w:cs="Garamond" w:eastAsia="Garamond" w:hAnsi="Garamond"/>
          <w:b w:val="false"/>
          <w:bCs w:val="false"/>
          <w:i/>
          <w:iCs/>
          <w:color w:val="1B2A4A"/>
          <w:sz w:val="22"/>
          <w:szCs w:val="22"/>
        </w:rPr>
        <w:t xml:space="preserve">The Monetary Authority</w:t>
      </w:r>
    </w:p>
    <w:p>
      <w:pPr>
        <w:spacing w:after="120" w:before="0"/>
        <w:ind w:left="431"/>
        <w:jc w:val="both"/>
      </w:pPr>
      <w:r>
        <w:rPr>
          <w:rFonts w:ascii="Garamond" w:cs="Garamond" w:eastAsia="Garamond" w:hAnsi="Garamond"/>
          <w:b w:val="false"/>
          <w:bCs w:val="false"/>
          <w:color w:val="2a2520"/>
          <w:sz w:val="22"/>
          <w:szCs w:val="22"/>
        </w:rPr>
        <w:t xml:space="preserve">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sz w:val="18"/>
          <w:szCs w:val="18"/>
        </w:rPr>
        <w:t xml:space="preserve">§12.2  </w:t>
      </w:r>
      <w:r>
        <w:rPr>
          <w:rFonts w:ascii="Garamond" w:cs="Garamond" w:eastAsia="Garamond" w:hAnsi="Garamond"/>
          <w:b w:val="false"/>
          <w:bCs w:val="false"/>
          <w:i/>
          <w:iCs/>
          <w:color w:val="1B2A4A"/>
          <w:sz w:val="22"/>
          <w:szCs w:val="22"/>
        </w:rPr>
        <w:t xml:space="preserve">Fiscal Accountability</w:t>
      </w:r>
    </w:p>
    <w:p>
      <w:pPr>
        <w:spacing w:after="120" w:before="0"/>
        <w:ind w:left="431"/>
        <w:jc w:val="both"/>
      </w:pPr>
      <w:r>
        <w:rPr>
          <w:rFonts w:ascii="Garamond" w:cs="Garamond" w:eastAsia="Garamond" w:hAnsi="Garamond"/>
          <w:b w:val="false"/>
          <w:b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to the level the Monetary Authority certifies as sufficient in years of fiscal surplus; failure to meet the certified level is a constitutional compliance breach.</w:t>
      </w:r>
    </w:p>
    <w:p>
      <w:pPr>
        <w:spacing w:after="60" w:before="200"/>
        <w:ind w:left="431"/>
        <w:jc w:val="left"/>
      </w:pPr>
      <w:r>
        <w:rPr>
          <w:rFonts w:ascii="Courier New" w:cs="Courier New" w:eastAsia="Courier New" w:hAnsi="Courier New"/>
          <w:b/>
          <w:bCs/>
          <w:sz w:val="18"/>
          <w:szCs w:val="18"/>
        </w:rPr>
        <w:t xml:space="preserve">§12.4  </w:t>
      </w:r>
      <w:r>
        <w:rPr>
          <w:rFonts w:ascii="Garamond" w:cs="Garamond" w:eastAsia="Garamond" w:hAnsi="Garamond"/>
          <w:b w:val="false"/>
          <w:bCs w:val="false"/>
          <w:i/>
          <w:iCs/>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EM reports the conflict to the NRS and the relevant chamber may void the decision by simple majority within 90 days of that certification.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information and records created, accessed, or held in the exercise of official functions are held on behalf of the Republic; they may be retained or used only for the performance of official duties during the officer's period of service and may not be retained, destroyed, or removed upon departure from office.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sz w:val="18"/>
          <w:szCs w:val="18"/>
        </w:rPr>
        <w:t xml:space="preserve">§12.5  </w:t>
      </w:r>
      <w:r>
        <w:rPr>
          <w:rFonts w:ascii="Garamond" w:cs="Garamond" w:eastAsia="Garamond" w:hAnsi="Garamond"/>
          <w:b w:val="false"/>
          <w:bCs w:val="false"/>
          <w:i/>
          <w:iCs/>
          <w:color w:val="1B2A4A"/>
          <w:sz w:val="22"/>
          <w:szCs w:val="22"/>
        </w:rPr>
        <w:t xml:space="preserve">National Endowment</w:t>
      </w:r>
    </w:p>
    <w:p>
      <w:pPr>
        <w:spacing w:after="120" w:before="0"/>
        <w:ind w:left="431"/>
        <w:jc w:val="both"/>
      </w:pPr>
      <w:r>
        <w:rPr>
          <w:rFonts w:ascii="Garamond" w:cs="Garamond" w:eastAsia="Garamond" w:hAnsi="Garamond"/>
          <w:b w:val="false"/>
          <w:b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sz w:val="18"/>
          <w:szCs w:val="18"/>
        </w:rPr>
        <w:t xml:space="preserve">§12.6  </w:t>
      </w:r>
      <w:r>
        <w:rPr>
          <w:rFonts w:ascii="Garamond" w:cs="Garamond" w:eastAsia="Garamond" w:hAnsi="Garamond"/>
          <w:b w:val="false"/>
          <w:bCs w:val="false"/>
          <w:i/>
          <w:iCs/>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color w:val="2a2520"/>
          <w:sz w:val="22"/>
          <w:szCs w:val="22"/>
        </w:rPr>
        <w:t xml:space="preserve">No government official may set their own compensation or the compensation of their direct supervisors. All official compensation is set by statute and is a public record on the NRS. Official benefits and accommodations beyond compensation reflect the functional requirements of the office, not the status of the officeholder. No benefit may exceed what the function genuinely requires. Departures from ordinary professional standards require a demonstrable operational need, documented and published to the NRS, and are limited to the minimum extent that need requires. **Article XIII — Direct Democracy**</w:t>
      </w:r>
    </w:p>
    <w:p>
      <w:pPr>
        <w:spacing w:after="60" w:before="200"/>
        <w:ind w:left="431"/>
        <w:jc w:val="left"/>
      </w:pPr>
      <w:r>
        <w:rPr>
          <w:rFonts w:ascii="Courier New" w:cs="Courier New" w:eastAsia="Courier New" w:hAnsi="Courier New"/>
          <w:b/>
          <w:bCs/>
          <w:sz w:val="18"/>
          <w:szCs w:val="18"/>
        </w:rPr>
        <w:t xml:space="preserve">§12.7  </w:t>
      </w:r>
      <w:r>
        <w:rPr>
          <w:rFonts w:ascii="Garamond" w:cs="Garamond" w:eastAsia="Garamond" w:hAnsi="Garamond"/>
          <w:b w:val="false"/>
          <w:bCs w:val="false"/>
          <w:i/>
          <w:iCs/>
          <w:color w:val="1B2A4A"/>
          <w:sz w:val="22"/>
          <w:szCs w:val="22"/>
        </w:rPr>
        <w:t xml:space="preserve">Internal Commerce</w:t>
      </w:r>
    </w:p>
    <w:p>
      <w:pPr>
        <w:spacing w:after="120" w:before="0"/>
        <w:ind w:left="431"/>
        <w:jc w:val="both"/>
      </w:pPr>
      <w:r>
        <w:rPr>
          <w:rFonts w:ascii="Garamond" w:cs="Garamond" w:eastAsia="Garamond" w:hAnsi="Garamond"/>
          <w:b w:val="false"/>
          <w:b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60" w:before="200"/>
        <w:ind w:left="431"/>
        <w:jc w:val="left"/>
      </w:pPr>
      <w:r>
        <w:rPr>
          <w:rFonts w:ascii="Courier New" w:cs="Courier New" w:eastAsia="Courier New" w:hAnsi="Courier New"/>
          <w:b/>
          <w:bCs/>
          <w:sz w:val="18"/>
          <w:szCs w:val="18"/>
        </w:rPr>
        <w:t xml:space="preserve">§12.8  </w:t>
      </w:r>
      <w:r>
        <w:rPr>
          <w:rFonts w:ascii="Garamond" w:cs="Garamond" w:eastAsia="Garamond" w:hAnsi="Garamond"/>
          <w:b w:val="false"/>
          <w:bCs w:val="false"/>
          <w:i/>
          <w:iCs/>
          <w:color w:val="1B2A4A"/>
          <w:sz w:val="22"/>
          <w:szCs w:val="22"/>
        </w:rPr>
        <w:t xml:space="preserve">Fiscal Equalization</w:t>
      </w:r>
    </w:p>
    <w:p>
      <w:pPr>
        <w:spacing w:after="120" w:before="0"/>
        <w:ind w:left="431"/>
        <w:jc w:val="both"/>
      </w:pPr>
      <w:r>
        <w:rPr>
          <w:rFonts w:ascii="Garamond" w:cs="Garamond" w:eastAsia="Garamond" w:hAnsi="Garamond"/>
          <w:b w:val="false"/>
          <w:b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XIII — Direct Democracy</w:t>
      </w:r>
    </w:p>
    <w:p>
      <w:pPr>
        <w:spacing w:after="60" w:before="200"/>
        <w:ind w:left="431"/>
        <w:jc w:val="left"/>
      </w:pPr>
      <w:r>
        <w:rPr>
          <w:rFonts w:ascii="Courier New" w:cs="Courier New" w:eastAsia="Courier New" w:hAnsi="Courier New"/>
          <w:b/>
          <w:bCs/>
          <w:sz w:val="18"/>
          <w:szCs w:val="18"/>
        </w:rPr>
        <w:t xml:space="preserve">§13.1  </w:t>
      </w:r>
      <w:r>
        <w:rPr>
          <w:rFonts w:ascii="Garamond" w:cs="Garamond" w:eastAsia="Garamond" w:hAnsi="Garamond"/>
          <w:b w:val="false"/>
          <w:bCs w:val="false"/>
          <w:i/>
          <w:iCs/>
          <w:color w:val="1B2A4A"/>
          <w:sz w:val="22"/>
          <w:szCs w:val="22"/>
        </w:rPr>
        <w:t xml:space="preserve">Optional Referendum</w:t>
      </w:r>
    </w:p>
    <w:p>
      <w:pPr>
        <w:spacing w:after="120" w:before="0"/>
        <w:ind w:left="431"/>
        <w:jc w:val="both"/>
      </w:pPr>
      <w:r>
        <w:rPr>
          <w:rFonts w:ascii="Garamond" w:cs="Garamond" w:eastAsia="Garamond" w:hAnsi="Garamond"/>
          <w:b w:val="false"/>
          <w:bCs w:val="false"/>
          <w:color w:val="2a2520"/>
          <w:sz w:val="22"/>
          <w:szCs w:val="22"/>
        </w:rPr>
        <w:t xml:space="preserve">Citizens may initiate a national referendum to repeal enacted legislation by petition of 5% of eligible voters within 90 days of enactment.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cannot be re-initiated on the same or substantially similar grounds for 5 years; the Legislature may re-enact a repealed law, which is again subject to referendum.</w:t>
      </w:r>
    </w:p>
    <w:p>
      <w:pPr>
        <w:spacing w:after="60" w:before="200"/>
        <w:ind w:left="431"/>
        <w:jc w:val="left"/>
      </w:pPr>
      <w:r>
        <w:rPr>
          <w:rFonts w:ascii="Courier New" w:cs="Courier New" w:eastAsia="Courier New" w:hAnsi="Courier New"/>
          <w:b/>
          <w:bCs/>
          <w:sz w:val="18"/>
          <w:szCs w:val="18"/>
        </w:rPr>
        <w:t xml:space="preserve">§13.2  </w:t>
      </w:r>
      <w:r>
        <w:rPr>
          <w:rFonts w:ascii="Garamond" w:cs="Garamond" w:eastAsia="Garamond" w:hAnsi="Garamond"/>
          <w:b w:val="false"/>
          <w:bCs w:val="false"/>
          <w:i/>
          <w:iCs/>
          <w:color w:val="1B2A4A"/>
          <w:sz w:val="22"/>
          <w:szCs w:val="22"/>
        </w:rPr>
        <w:t xml:space="preserve">Citizen Legislative Initiative</w:t>
      </w:r>
    </w:p>
    <w:p>
      <w:pPr>
        <w:spacing w:after="120" w:before="0"/>
        <w:ind w:left="431"/>
        <w:jc w:val="both"/>
      </w:pPr>
      <w:r>
        <w:rPr>
          <w:rFonts w:ascii="Garamond" w:cs="Garamond" w:eastAsia="Garamond" w:hAnsi="Garamond"/>
          <w:b w:val="false"/>
          <w:bCs w:val="false"/>
          <w:color w:val="2a2520"/>
          <w:sz w:val="22"/>
          <w:szCs w:val="22"/>
        </w:rPr>
        <w:t xml:space="preserve">Citizens may propose legislation directly to the Legislature by petition of 10% of eligible voters. The Legislature must vote on the proposal within 90 days; if it fails or is not voted on, the proposal proceeds to a direct citizen referendum; passage requires 60% of votes cast with at least 50% citizen participation.</w:t>
      </w:r>
    </w:p>
    <w:p>
      <w:pPr>
        <w:spacing w:after="60" w:before="200"/>
        <w:ind w:left="431"/>
        <w:jc w:val="left"/>
      </w:pPr>
      <w:r>
        <w:rPr>
          <w:rFonts w:ascii="Courier New" w:cs="Courier New" w:eastAsia="Courier New" w:hAnsi="Courier New"/>
          <w:b/>
          <w:bCs/>
          <w:sz w:val="18"/>
          <w:szCs w:val="18"/>
        </w:rPr>
        <w:t xml:space="preserve">§13.3  </w:t>
      </w:r>
      <w:r>
        <w:rPr>
          <w:rFonts w:ascii="Garamond" w:cs="Garamond" w:eastAsia="Garamond" w:hAnsi="Garamond"/>
          <w:b w:val="false"/>
          <w:bCs w:val="false"/>
          <w:i/>
          <w:iCs/>
          <w:color w:val="1B2A4A"/>
          <w:sz w:val="22"/>
          <w:szCs w:val="22"/>
        </w:rPr>
        <w:t xml:space="preserve">Local Government</w:t>
      </w:r>
    </w:p>
    <w:p>
      <w:pPr>
        <w:spacing w:after="120" w:before="0"/>
        <w:ind w:left="431"/>
        <w:jc w:val="both"/>
      </w:pPr>
      <w:r>
        <w:rPr>
          <w:rFonts w:ascii="Garamond" w:cs="Garamond" w:eastAsia="Garamond" w:hAnsi="Garamond"/>
          <w:b w:val="false"/>
          <w:b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sz w:val="18"/>
          <w:szCs w:val="18"/>
        </w:rPr>
        <w:t xml:space="preserve">§13.4  </w:t>
      </w:r>
      <w:r>
        <w:rPr>
          <w:rFonts w:ascii="Garamond" w:cs="Garamond" w:eastAsia="Garamond" w:hAnsi="Garamond"/>
          <w:b w:val="false"/>
          <w:bCs w:val="false"/>
          <w:i/>
          <w:i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 **Article XIV — Military Authorization and Accountability**</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XIV — National Defense</w:t>
      </w:r>
    </w:p>
    <w:p>
      <w:pPr>
        <w:spacing w:after="60" w:before="200"/>
        <w:ind w:left="431"/>
        <w:jc w:val="left"/>
      </w:pPr>
      <w:r>
        <w:rPr>
          <w:rFonts w:ascii="Courier New" w:cs="Courier New" w:eastAsia="Courier New" w:hAnsi="Courier New"/>
          <w:b/>
          <w:bCs/>
          <w:sz w:val="18"/>
          <w:szCs w:val="18"/>
        </w:rPr>
        <w:t xml:space="preserve">§14.1  </w:t>
      </w:r>
      <w:r>
        <w:rPr>
          <w:rFonts w:ascii="Garamond" w:cs="Garamond" w:eastAsia="Garamond" w:hAnsi="Garamond"/>
          <w:b w:val="false"/>
          <w:bCs w:val="false"/>
          <w:i/>
          <w:iCs/>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color w:val="2a2520"/>
          <w:sz w:val="22"/>
          <w:szCs w:val="22"/>
        </w:rPr>
        <w:t xml:space="preserve">Military force serves two authorized purposes: protection of the Republic's territory, citizens, and treaty allies; and, with legislative authorization stating the specific grounds, response to genocide as recognized under international law.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w:t>
      </w:r>
    </w:p>
    <w:p>
      <w:pPr>
        <w:spacing w:after="60" w:before="200"/>
        <w:ind w:left="431"/>
        <w:jc w:val="left"/>
      </w:pPr>
      <w:r>
        <w:rPr>
          <w:rFonts w:ascii="Courier New" w:cs="Courier New" w:eastAsia="Courier New" w:hAnsi="Courier New"/>
          <w:b/>
          <w:bCs/>
          <w:sz w:val="18"/>
          <w:szCs w:val="18"/>
        </w:rPr>
        <w:t xml:space="preserve">§14.2  </w:t>
      </w:r>
      <w:r>
        <w:rPr>
          <w:rFonts w:ascii="Garamond" w:cs="Garamond" w:eastAsia="Garamond" w:hAnsi="Garamond"/>
          <w:b w:val="false"/>
          <w:bCs w:val="false"/>
          <w:i/>
          <w:iCs/>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color w:val="2a2520"/>
          <w:sz w:val="22"/>
          <w:szCs w:val="22"/>
        </w:rPr>
        <w:t xml:space="preserve">Military expenditure is authorized through Civic Consul certification concurrent with legislative authorization. No military operation may be funded without Civic Consul certification; the Civic Consul may certify, condition, or decline certification on any operation. Expenditure in categories not covered by the certification requires supplementary Civic Consul certification. When legislative authorization expires or is not renewed, all military expenditure ceases; ongoing contracts may continue to wind down for the period the Legislature defines by statute; no new commitments may be entered after authorization expires. The EM audits all military expenditure during active operations and publishes findings to the NRS. Within the period the Legislature defines by statute following the conclusion of any military operation, not to exceed 180 days, the EM publishes a comprehensive expenditure accountability report. Where the Civic Consul declines certification for ongoing military operations that have been legislatively authorized, previously certified operational expenditure continues at maintenance-only levels for the period the Legislature defines by statute — covering only operations explicitly within the prior authorization, with no escalations, expansions, or new commitments permitted; the Legat Consul must publish notice of the certification refusal to the NRS within 24 hours with stated grounds; both chambers must be notified simultaneously; if the Legislature does not act within the maintenance period, all expenditure ceases. A Civic Consul who declines certification bears the same constitutional attribution for the consequences of that decision as a Legat Consul who orders an operation.</w:t>
      </w:r>
    </w:p>
    <w:p>
      <w:pPr>
        <w:spacing w:after="60" w:before="200"/>
        <w:ind w:left="431"/>
        <w:jc w:val="left"/>
      </w:pPr>
      <w:r>
        <w:rPr>
          <w:rFonts w:ascii="Courier New" w:cs="Courier New" w:eastAsia="Courier New" w:hAnsi="Courier New"/>
          <w:b/>
          <w:bCs/>
          <w:sz w:val="18"/>
          <w:szCs w:val="18"/>
        </w:rPr>
        <w:t xml:space="preserve">§14.3  </w:t>
      </w:r>
      <w:r>
        <w:rPr>
          <w:rFonts w:ascii="Garamond" w:cs="Garamond" w:eastAsia="Garamond" w:hAnsi="Garamond"/>
          <w:b w:val="false"/>
          <w:bCs w:val="false"/>
          <w:i/>
          <w:iCs/>
          <w:color w:val="1B2A4A"/>
          <w:sz w:val="22"/>
          <w:szCs w:val="22"/>
        </w:rPr>
        <w:t xml:space="preserve">Military Accountability</w:t>
      </w:r>
    </w:p>
    <w:p>
      <w:pPr>
        <w:spacing w:after="120" w:before="0"/>
        <w:ind w:left="431"/>
        <w:jc w:val="both"/>
      </w:pPr>
      <w:r>
        <w:rPr>
          <w:rFonts w:ascii="Garamond" w:cs="Garamond" w:eastAsia="Garamond" w:hAnsi="Garamond"/>
          <w:b w:val="false"/>
          <w:bCs w:val="false"/>
          <w:color w:val="2a2520"/>
          <w:sz w:val="22"/>
          <w:szCs w:val="22"/>
        </w:rPr>
        <w:t xml:space="preserve">Within the period defined by statute following legislative military authorization being renewed for a second time, the Senate must approve a Transition and Reconstruction Plan specifying the Republic's post-conflict obligations: status of alliance obligations, civilian reconstruction support, transitional justice support, and withdrawal timeline. The Plan is published to the NRS and is binding on both executives within their respective domains. If the Senate fails to approve a Plan within the required period, that failure is a constitutional compliance breach; the Civic Consul may provisionally extend expenditure certification for continued operations for up to 60 days total in two 30-day extensions, each requiring Civic Consul notification to the Senate and publication to the NRS confirming that the certified expenditure remains within the Declaration's scope; operational authority over those operations remains with the Legat Consul throughout. Once the two extensions are exhausted, no further authorization renewals are permitted until the Senate approves a Plan.</w:t>
      </w:r>
    </w:p>
    <w:p>
      <w:pPr>
        <w:spacing w:after="60" w:before="200"/>
        <w:ind w:left="431"/>
        <w:jc w:val="left"/>
      </w:pPr>
      <w:r>
        <w:rPr>
          <w:rFonts w:ascii="Courier New" w:cs="Courier New" w:eastAsia="Courier New" w:hAnsi="Courier New"/>
          <w:b/>
          <w:bCs/>
          <w:sz w:val="18"/>
          <w:szCs w:val="18"/>
        </w:rPr>
        <w:t xml:space="preserve">§14.4  </w:t>
      </w:r>
      <w:r>
        <w:rPr>
          <w:rFonts w:ascii="Garamond" w:cs="Garamond" w:eastAsia="Garamond" w:hAnsi="Garamond"/>
          <w:b w:val="false"/>
          <w:bCs w:val="false"/>
          <w:i/>
          <w:iCs/>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Civic Consul certification of expenditure applies from the moment of action under §14.2. **Article XV — Territorial Structure and Statehood**</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XV — National Expansion and State Devolution</w:t>
      </w:r>
    </w:p>
    <w:p>
      <w:pPr>
        <w:spacing w:after="60" w:before="200"/>
        <w:ind w:left="431"/>
        <w:jc w:val="left"/>
      </w:pPr>
      <w:r>
        <w:rPr>
          <w:rFonts w:ascii="Courier New" w:cs="Courier New" w:eastAsia="Courier New" w:hAnsi="Courier New"/>
          <w:b/>
          <w:bCs/>
          <w:sz w:val="18"/>
          <w:szCs w:val="18"/>
        </w:rPr>
        <w:t xml:space="preserve">§15.1  </w:t>
      </w:r>
      <w:r>
        <w:rPr>
          <w:rFonts w:ascii="Garamond" w:cs="Garamond" w:eastAsia="Garamond" w:hAnsi="Garamond"/>
          <w:b w:val="false"/>
          <w:bCs w:val="false"/>
          <w:i/>
          <w:iCs/>
          <w:color w:val="1B2A4A"/>
          <w:sz w:val="22"/>
          <w:szCs w:val="22"/>
        </w:rPr>
        <w:t xml:space="preserve">Territorial Compact</w:t>
      </w:r>
    </w:p>
    <w:p>
      <w:pPr>
        <w:spacing w:after="120" w:before="0"/>
        <w:ind w:left="431"/>
        <w:jc w:val="both"/>
      </w:pPr>
      <w:r>
        <w:rPr>
          <w:rFonts w:ascii="Garamond" w:cs="Garamond" w:eastAsia="Garamond" w:hAnsi="Garamond"/>
          <w:b w:val="false"/>
          <w:bCs w:val="false"/>
          <w:color w:val="2a2520"/>
          <w:sz w:val="22"/>
          <w:szCs w:val="22"/>
        </w:rPr>
        <w:t xml:space="preserve">A Territory operates under a Territorial Compact,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sz w:val="18"/>
          <w:szCs w:val="18"/>
        </w:rPr>
        <w:t xml:space="preserve">§15.2  </w:t>
      </w:r>
      <w:r>
        <w:rPr>
          <w:rFonts w:ascii="Garamond" w:cs="Garamond" w:eastAsia="Garamond" w:hAnsi="Garamond"/>
          <w:b w:val="false"/>
          <w:bCs w:val="false"/>
          <w:i/>
          <w:iCs/>
          <w:color w:val="1B2A4A"/>
          <w:sz w:val="22"/>
          <w:szCs w:val="22"/>
        </w:rPr>
        <w:t xml:space="preserve">The Statehood Audit</w:t>
      </w:r>
    </w:p>
    <w:p>
      <w:pPr>
        <w:spacing w:after="120" w:before="0"/>
        <w:ind w:left="431"/>
        <w:jc w:val="both"/>
      </w:pPr>
      <w:r>
        <w:rPr>
          <w:rFonts w:ascii="Garamond" w:cs="Garamond" w:eastAsia="Garamond" w:hAnsi="Garamond"/>
          <w:b w:val="false"/>
          <w:b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sz w:val="18"/>
          <w:szCs w:val="18"/>
        </w:rPr>
        <w:t xml:space="preserve">§15.3  </w:t>
      </w:r>
      <w:r>
        <w:rPr>
          <w:rFonts w:ascii="Garamond" w:cs="Garamond" w:eastAsia="Garamond" w:hAnsi="Garamond"/>
          <w:b w:val="false"/>
          <w:bCs w:val="false"/>
          <w:i/>
          <w:iCs/>
          <w:color w:val="1B2A4A"/>
          <w:sz w:val="22"/>
          <w:szCs w:val="22"/>
        </w:rPr>
        <w:t xml:space="preserve">Mandatory Devolution</w:t>
      </w:r>
    </w:p>
    <w:p>
      <w:pPr>
        <w:spacing w:after="120" w:before="0"/>
        <w:ind w:left="431"/>
        <w:jc w:val="both"/>
      </w:pPr>
      <w:r>
        <w:rPr>
          <w:rFonts w:ascii="Garamond" w:cs="Garamond" w:eastAsia="Garamond" w:hAnsi="Garamond"/>
          <w:b w:val="false"/>
          <w:b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the State automatically enters Provisional status. Sitting senators complete their current elected terms — Senate seats are not vacated — but no new Senate elections may be held until Statehood is restored; existing Assembly members complete their current terms; Article I rights and social state protections continue without interruption. Restoration to Statehood is automatic upon passing the Statehood Audit and completing the Provisional Membership Period. Within 30 days of devolution taking effect,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sz w:val="18"/>
          <w:szCs w:val="18"/>
        </w:rPr>
        <w:t xml:space="preserve">§15.4  </w:t>
      </w:r>
      <w:r>
        <w:rPr>
          <w:rFonts w:ascii="Garamond" w:cs="Garamond" w:eastAsia="Garamond" w:hAnsi="Garamond"/>
          <w:b w:val="false"/>
          <w:bCs w:val="false"/>
          <w:i/>
          <w:iCs/>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color w:val="2a2520"/>
          <w:sz w:val="22"/>
          <w:szCs w:val="22"/>
        </w:rPr>
        <w:t xml:space="preserve">A State may voluntarily restructure its relationship with the Republic. The process requires a State referendum achieving 60% approval of eligible voters on the specific proposed restructuring; and Senate approval of a negotiated restructuring agreement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resulting from voluntary devolution enters the Statehood re-qualification pathway immediately.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sz w:val="18"/>
          <w:szCs w:val="18"/>
        </w:rPr>
        <w:t xml:space="preserve">§15.5  </w:t>
      </w:r>
      <w:r>
        <w:rPr>
          <w:rFonts w:ascii="Garamond" w:cs="Garamond" w:eastAsia="Garamond" w:hAnsi="Garamond"/>
          <w:b w:val="false"/>
          <w:bCs w:val="false"/>
          <w:i/>
          <w:iCs/>
          <w:color w:val="1B2A4A"/>
          <w:sz w:val="22"/>
          <w:szCs w:val="22"/>
        </w:rPr>
        <w:t xml:space="preserve">Re-Qualification Pathway</w:t>
      </w:r>
    </w:p>
    <w:p>
      <w:pPr>
        <w:spacing w:after="120" w:before="0"/>
        <w:ind w:left="431"/>
        <w:jc w:val="both"/>
      </w:pPr>
      <w:r>
        <w:rPr>
          <w:rFonts w:ascii="Garamond" w:cs="Garamond" w:eastAsia="Garamond" w:hAnsi="Garamond"/>
          <w:b w:val="false"/>
          <w:b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w:t>
      </w:r>
    </w:p>
    <w:p>
      <w:pPr>
        <w:spacing w:after="60" w:before="200"/>
        <w:ind w:left="431"/>
        <w:jc w:val="left"/>
      </w:pPr>
      <w:r>
        <w:rPr>
          <w:rFonts w:ascii="Courier New" w:cs="Courier New" w:eastAsia="Courier New" w:hAnsi="Courier New"/>
          <w:b/>
          <w:bCs/>
          <w:sz w:val="18"/>
          <w:szCs w:val="18"/>
        </w:rPr>
        <w:t xml:space="preserve">§15.6  </w:t>
      </w:r>
      <w:r>
        <w:rPr>
          <w:rFonts w:ascii="Garamond" w:cs="Garamond" w:eastAsia="Garamond" w:hAnsi="Garamond"/>
          <w:b w:val="false"/>
          <w:bCs w:val="false"/>
          <w:i/>
          <w:iCs/>
          <w:color w:val="1B2A4A"/>
          <w:sz w:val="22"/>
          <w:szCs w:val="22"/>
        </w:rPr>
        <w:t xml:space="preserve">Voluntary Incorporation</w:t>
      </w:r>
    </w:p>
    <w:p>
      <w:pPr>
        <w:spacing w:after="120" w:before="0"/>
        <w:ind w:left="431"/>
        <w:jc w:val="both"/>
      </w:pPr>
      <w:r>
        <w:rPr>
          <w:rFonts w:ascii="Garamond" w:cs="Garamond" w:eastAsia="Garamond" w:hAnsi="Garamond"/>
          <w:b w:val="false"/>
          <w:b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and acceptance by the Legislature by 2/3 of full seated membership of both chambers. Under §9.1, either chamber may request a JM assessment of the entity's compliance with §1.19.b before the incorporation vote; published JM findings must be given due consideration. Any person with standing may challenge the incorporation before the SC on the ground that the entity systematically violates §1.19.b. An accepted petition produces an incorporation agreement specifying a transition period not exceeding 48 months.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sz w:val="18"/>
          <w:szCs w:val="18"/>
        </w:rPr>
        <w:t xml:space="preserve">§15.7  </w:t>
      </w:r>
      <w:r>
        <w:rPr>
          <w:rFonts w:ascii="Garamond" w:cs="Garamond" w:eastAsia="Garamond" w:hAnsi="Garamond"/>
          <w:b w:val="false"/>
          <w:bCs w:val="false"/>
          <w:i/>
          <w:iCs/>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 Voluntary State independence proceeds under §15.9. **Article XVI — Indigenous Sovereignty**</w:t>
      </w:r>
    </w:p>
    <w:p>
      <w:pPr>
        <w:spacing w:after="60" w:before="200"/>
        <w:ind w:left="431"/>
        <w:jc w:val="left"/>
      </w:pPr>
      <w:r>
        <w:rPr>
          <w:rFonts w:ascii="Courier New" w:cs="Courier New" w:eastAsia="Courier New" w:hAnsi="Courier New"/>
          <w:b/>
          <w:bCs/>
          <w:sz w:val="18"/>
          <w:szCs w:val="18"/>
        </w:rPr>
        <w:t xml:space="preserve">§15.8  </w:t>
      </w:r>
      <w:r>
        <w:rPr>
          <w:rFonts w:ascii="Garamond" w:cs="Garamond" w:eastAsia="Garamond" w:hAnsi="Garamond"/>
          <w:b w:val="false"/>
          <w:bCs w:val="false"/>
          <w:i/>
          <w:iCs/>
          <w:color w:val="1B2A4A"/>
          <w:sz w:val="22"/>
          <w:szCs w:val="22"/>
        </w:rPr>
        <w:t xml:space="preserve">Local Government</w:t>
      </w:r>
    </w:p>
    <w:p>
      <w:pPr>
        <w:spacing w:after="120" w:before="0"/>
        <w:ind w:left="431"/>
        <w:jc w:val="both"/>
      </w:pPr>
      <w:r>
        <w:rPr>
          <w:rFonts w:ascii="Garamond" w:cs="Garamond" w:eastAsia="Garamond" w:hAnsi="Garamond"/>
          <w:b w:val="false"/>
          <w:b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sz w:val="18"/>
          <w:szCs w:val="18"/>
        </w:rPr>
        <w:t xml:space="preserve">§15.9  </w:t>
      </w:r>
      <w:r>
        <w:rPr>
          <w:rFonts w:ascii="Garamond" w:cs="Garamond" w:eastAsia="Garamond" w:hAnsi="Garamond"/>
          <w:b w:val="false"/>
          <w:bCs w:val="false"/>
          <w:i/>
          <w:iCs/>
          <w:color w:val="1B2A4A"/>
          <w:sz w:val="22"/>
          <w:szCs w:val="22"/>
        </w:rPr>
        <w:t xml:space="preserve">Voluntary State Independence</w:t>
      </w:r>
    </w:p>
    <w:p>
      <w:pPr>
        <w:spacing w:after="120" w:before="0"/>
        <w:ind w:left="431"/>
        <w:jc w:val="both"/>
      </w:pPr>
      <w:r>
        <w:rPr>
          <w:rFonts w:ascii="Garamond" w:cs="Garamond" w:eastAsia="Garamond" w:hAnsi="Garamond"/>
          <w:b w:val="false"/>
          <w:bCs w:val="false"/>
          <w:color w:val="2a2520"/>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pPr>
        <w:spacing w:after="120" w:before="0"/>
        <w:ind w:left="431"/>
        <w:jc w:val="both"/>
      </w:pPr>
      <w:r>
        <w:rPr>
          <w:rFonts w:ascii="Garamond" w:cs="Garamond" w:eastAsia="Garamond" w:hAnsi="Garamond"/>
          <w:b w:val="false"/>
          <w:bCs w:val="false"/>
          <w:color w:val="2a2520"/>
          <w:sz w:val="22"/>
          <w:szCs w:val="22"/>
        </w:rPr>
        <w:t xml:space="preserve">Upon ratification, both executives negotiate a transition agreement through the Council of Ministers under §2.14, with the Legat Consul holding primary authority on border and defense terms under §2.1 and the Civic Consul holding primary authority on domestic implementation under §2.5; the agreement specifies asset and liability allocation, transition timeline, treatment of federal property under §18.1, fiscal obligations, and continuing obligations; the Legislature ratifies the agreement by 2/3 of full seated membership of both chambers. Where no agreement is concluded within 24 months, either party may propose a single 12-month extension by mutual agreement published to the NRS; absent a concluded agreement or an agreed extension, existing federal arrangements continue on a provisional basis, the Legat Consul publishes the provisional framework to the NRS, and either party may petition the SC to resolve specific disputes within that framework.</w:t>
      </w:r>
    </w:p>
    <w:p>
      <w:pPr>
        <w:spacing w:after="120" w:before="0"/>
        <w:ind w:left="431"/>
        <w:jc w:val="both"/>
      </w:pPr>
      <w:r>
        <w:rPr>
          <w:rFonts w:ascii="Garamond" w:cs="Garamond" w:eastAsia="Garamond" w:hAnsi="Garamond"/>
          <w:b w:val="false"/>
          <w:bCs w:val="false"/>
          <w:color w:val="2a2520"/>
          <w:sz w:val="22"/>
          <w:szCs w:val="22"/>
        </w:rPr>
        <w:t xml:space="preserve">§5.1 applies from the date of ratification: Republic citizens in the departing State retain citizenship unless they elect to renounce during an opt-out window specified in the transition agreement, not to exceed seven years; legal residents holding Residency Credentials at the date of ratification retain those credentials for the period specified in the transition agreement. Article I rights and social state protections under Article XII continue in full through the transition period. An independent State may subsequently petition for re-entry to the Republic's constitutional framework as a Territory under §15.6.</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XVI — The Indigenous Nation Compact</w:t>
      </w:r>
    </w:p>
    <w:p>
      <w:pPr>
        <w:spacing w:after="60" w:before="200"/>
        <w:ind w:left="431"/>
        <w:jc w:val="left"/>
      </w:pPr>
      <w:r>
        <w:rPr>
          <w:rFonts w:ascii="Courier New" w:cs="Courier New" w:eastAsia="Courier New" w:hAnsi="Courier New"/>
          <w:b/>
          <w:bCs/>
          <w:sz w:val="18"/>
          <w:szCs w:val="18"/>
        </w:rPr>
        <w:t xml:space="preserve">§16.1  </w:t>
      </w:r>
      <w:r>
        <w:rPr>
          <w:rFonts w:ascii="Garamond" w:cs="Garamond" w:eastAsia="Garamond" w:hAnsi="Garamond"/>
          <w:b w:val="false"/>
          <w:bCs w:val="false"/>
          <w:i/>
          <w:iCs/>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sz w:val="18"/>
          <w:szCs w:val="18"/>
        </w:rPr>
        <w:t xml:space="preserve">§16.2  </w:t>
      </w:r>
      <w:r>
        <w:rPr>
          <w:rFonts w:ascii="Garamond" w:cs="Garamond" w:eastAsia="Garamond" w:hAnsi="Garamond"/>
          <w:b w:val="false"/>
          <w:bCs w:val="false"/>
          <w:i/>
          <w:iCs/>
          <w:color w:val="1B2A4A"/>
          <w:sz w:val="22"/>
          <w:szCs w:val="22"/>
        </w:rPr>
        <w:t xml:space="preserve">Compact Formation</w:t>
      </w:r>
    </w:p>
    <w:p>
      <w:pPr>
        <w:spacing w:after="120" w:before="0"/>
        <w:ind w:left="431"/>
        <w:jc w:val="both"/>
      </w:pPr>
      <w:r>
        <w:rPr>
          <w:rFonts w:ascii="Garamond" w:cs="Garamond" w:eastAsia="Garamond" w:hAnsi="Garamond"/>
          <w:b w:val="false"/>
          <w:b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sz w:val="18"/>
          <w:szCs w:val="18"/>
        </w:rPr>
        <w:t xml:space="preserve">§16.3  </w:t>
      </w:r>
      <w:r>
        <w:rPr>
          <w:rFonts w:ascii="Garamond" w:cs="Garamond" w:eastAsia="Garamond" w:hAnsi="Garamond"/>
          <w:b w:val="false"/>
          <w:bCs w:val="false"/>
          <w:i/>
          <w:iCs/>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w:t>
      </w:r>
    </w:p>
    <w:p>
      <w:pPr>
        <w:spacing w:after="60" w:before="200"/>
        <w:ind w:left="431"/>
        <w:jc w:val="left"/>
      </w:pPr>
      <w:r>
        <w:rPr>
          <w:rFonts w:ascii="Courier New" w:cs="Courier New" w:eastAsia="Courier New" w:hAnsi="Courier New"/>
          <w:b/>
          <w:bCs/>
          <w:sz w:val="18"/>
          <w:szCs w:val="18"/>
        </w:rPr>
        <w:t xml:space="preserve">§16.4  </w:t>
      </w:r>
      <w:r>
        <w:rPr>
          <w:rFonts w:ascii="Garamond" w:cs="Garamond" w:eastAsia="Garamond" w:hAnsi="Garamond"/>
          <w:b w:val="false"/>
          <w:bCs w:val="false"/>
          <w:i/>
          <w:iCs/>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color w:val="2a2520"/>
          <w:sz w:val="22"/>
          <w:szCs w:val="22"/>
        </w:rPr>
        <w:t xml:space="preserve">Compacts are living agreements administered through joint mechanisms. Disputes are resolved through a Joint Compact Review Council with equal representation of the Nation and the Republic. The Republic is represented on the Council by the Civic Consul's designated Compact Officer for domestic and governance matters; the Legat Consul's designated representative participates for any matter within the Legat Consul's domain under §2.1. Council decisions are binding on both parties within the scope of the compact; neither party may unilaterally declare a compact dispute resolved. Constitutional questions are appealed to the SC, which must rule within 90 days of petition; where the SC fails to rule within 90 days, the Nation’s position is upheld by constitutional operation pending any subsequent ruling. Compacts are reviewed on a schedule defined in the compact terms, minimum every 20 years; either party may request a review outside the schedule. The review may result in compact amendment by mutual agreement — neither party can impose amendments. A compact may be terminated by mutual agreement only; neither party may unilaterally terminate; only the Nation may initiate termination, and the Republic must negotiate exit terms within 2 years; if no agreement is reached the compact continues and the dispute is referred to the SC.</w:t>
      </w:r>
    </w:p>
    <w:p>
      <w:pPr>
        <w:spacing w:after="60" w:before="200"/>
        <w:ind w:left="431"/>
        <w:jc w:val="left"/>
      </w:pPr>
      <w:r>
        <w:rPr>
          <w:rFonts w:ascii="Courier New" w:cs="Courier New" w:eastAsia="Courier New" w:hAnsi="Courier New"/>
          <w:b/>
          <w:bCs/>
          <w:sz w:val="18"/>
          <w:szCs w:val="18"/>
        </w:rPr>
        <w:t xml:space="preserve">§16.5  </w:t>
      </w:r>
      <w:r>
        <w:rPr>
          <w:rFonts w:ascii="Garamond" w:cs="Garamond" w:eastAsia="Garamond" w:hAnsi="Garamond"/>
          <w:b w:val="false"/>
          <w:bCs w:val="false"/>
          <w:i/>
          <w:iCs/>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 dispute resolution process. Any resident of compact territory who believes an Article I right has been violated may bring an Emergency Rights Writ directly to the SC, bypassing all lower courts and the compact dispute resolution process; the SC must rule within the period defined by statute, not to exceed 14 days; where the SC fails to rule within that period, the Writ is granted and the alleged violation is treated as confirmed pending full SC review. Indigenous communities that do not currently hold a compact may petition the Senate for compact recognition; the Senate must consider the petition within 90 days and either begin negotiations or publish written reasons for declining.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sz w:val="18"/>
          <w:szCs w:val="18"/>
        </w:rPr>
        <w:t xml:space="preserve">§16.6  </w:t>
      </w:r>
      <w:r>
        <w:rPr>
          <w:rFonts w:ascii="Garamond" w:cs="Garamond" w:eastAsia="Garamond" w:hAnsi="Garamond"/>
          <w:b w:val="false"/>
          <w:bCs w:val="false"/>
          <w:i/>
          <w:iCs/>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w:t>
      </w:r>
    </w:p>
    <w:p>
      <w:pPr>
        <w:spacing w:after="60" w:before="200"/>
        <w:ind w:left="431"/>
        <w:jc w:val="left"/>
      </w:pPr>
      <w:r>
        <w:rPr>
          <w:rFonts w:ascii="Courier New" w:cs="Courier New" w:eastAsia="Courier New" w:hAnsi="Courier New"/>
          <w:b/>
          <w:bCs/>
          <w:sz w:val="18"/>
          <w:szCs w:val="18"/>
        </w:rPr>
        <w:t xml:space="preserve">§16.7  </w:t>
      </w:r>
      <w:r>
        <w:rPr>
          <w:rFonts w:ascii="Garamond" w:cs="Garamond" w:eastAsia="Garamond" w:hAnsi="Garamond"/>
          <w:b w:val="false"/>
          <w:bCs w:val="false"/>
          <w:i/>
          <w:iCs/>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color w:val="2a2520"/>
          <w:sz w:val="22"/>
          <w:szCs w:val="22"/>
        </w:rPr>
        <w:t xml:space="preserve">An indigenous nation with an established compact under Article XVI holds the constitutional right to initiate a status transition through its own democratic or traditional governance process. Three status options are available: (a) Compact Status — continued Article XVI compact relationship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sz w:val="18"/>
          <w:szCs w:val="18"/>
        </w:rPr>
        <w:t xml:space="preserve">§16.7.a  </w:t>
      </w:r>
      <w:r>
        <w:rPr>
          <w:rFonts w:ascii="Garamond" w:cs="Garamond" w:eastAsia="Garamond" w:hAnsi="Garamond"/>
          <w:b w:val="false"/>
          <w:bCs w:val="false"/>
          <w:i/>
          <w:iCs/>
          <w:color w:val="1B2A4A"/>
          <w:sz w:val="22"/>
          <w:szCs w:val="22"/>
        </w:rPr>
        <w:t xml:space="preserve">Status Election Process</w:t>
      </w:r>
    </w:p>
    <w:p>
      <w:pPr>
        <w:spacing w:after="120" w:before="0"/>
        <w:ind w:left="431"/>
        <w:jc w:val="both"/>
      </w:pPr>
      <w:r>
        <w:rPr>
          <w:rFonts w:ascii="Garamond" w:cs="Garamond" w:eastAsia="Garamond" w:hAnsi="Garamond"/>
          <w:b w:val="false"/>
          <w:b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 status election is irrevocable — a Nation that elects Territorial Integration or Full Sovereign Independence may not subsequently return to Article XVI compact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compact status has no special pathway back to compact status;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compact status. At ratification, the Republic must formally notify all recognized indigenous compact nations of their rights under §16.7. **Article XVII — Constitutional Amendments**</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XVII — Amending the Constitution</w:t>
      </w:r>
    </w:p>
    <w:p>
      <w:pPr>
        <w:spacing w:after="60" w:before="200"/>
        <w:ind w:left="431"/>
        <w:jc w:val="left"/>
      </w:pPr>
      <w:r>
        <w:rPr>
          <w:rFonts w:ascii="Courier New" w:cs="Courier New" w:eastAsia="Courier New" w:hAnsi="Courier New"/>
          <w:b/>
          <w:bCs/>
          <w:sz w:val="18"/>
          <w:szCs w:val="18"/>
        </w:rPr>
        <w:t xml:space="preserve">§17.1  </w:t>
      </w:r>
      <w:r>
        <w:rPr>
          <w:rFonts w:ascii="Garamond" w:cs="Garamond" w:eastAsia="Garamond" w:hAnsi="Garamond"/>
          <w:b w:val="false"/>
          <w:bCs w:val="false"/>
          <w:i/>
          <w:iCs/>
          <w:color w:val="1B2A4A"/>
          <w:sz w:val="22"/>
          <w:szCs w:val="22"/>
        </w:rPr>
        <w:t xml:space="preserve">Amendment Paths</w:t>
      </w:r>
    </w:p>
    <w:p>
      <w:pPr>
        <w:spacing w:after="120" w:before="0"/>
        <w:ind w:left="431"/>
        <w:jc w:val="both"/>
      </w:pPr>
      <w:r>
        <w:rPr>
          <w:rFonts w:ascii="Garamond" w:cs="Garamond" w:eastAsia="Garamond" w:hAnsi="Garamond"/>
          <w:b w:val="false"/>
          <w:b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not to exceed two years) or Popular Ratification (a national popular referendum achieving 2/3 of votes cast with at least 55% citizen participation within 180 days). Citizen Initiative Amendment: Any proposed constitutional amendment supported by a petition of at least 15% of eligible voters, as verified by the Elections Panel, proceeds directly to a national referendum. Passage requires 70% of votes cast with a minimum 65% citizen participation; where the participation floor is not met the initiative fails and may not be resubmitted on the same or substantially similar grounds for five years. No legislative or executive action is required to place the initiative on the ballot; the Elections Panel administers the referendum within 180 days of Elections Panel petition verification. Citizen initiative amendments are subject to §17.3 consistency analysis by the LM,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w:t>
      </w:r>
    </w:p>
    <w:p>
      <w:pPr>
        <w:spacing w:after="60" w:before="200"/>
        <w:ind w:left="431"/>
        <w:jc w:val="left"/>
      </w:pPr>
      <w:r>
        <w:rPr>
          <w:rFonts w:ascii="Courier New" w:cs="Courier New" w:eastAsia="Courier New" w:hAnsi="Courier New"/>
          <w:b/>
          <w:bCs/>
          <w:sz w:val="18"/>
          <w:szCs w:val="18"/>
        </w:rPr>
        <w:t xml:space="preserve">§17.2  </w:t>
      </w:r>
      <w:r>
        <w:rPr>
          <w:rFonts w:ascii="Garamond" w:cs="Garamond" w:eastAsia="Garamond" w:hAnsi="Garamond"/>
          <w:b w:val="false"/>
          <w:bCs w:val="false"/>
          <w:i/>
          <w:iCs/>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or Elections Panel certification (Popular Ratification) and NRS publication — no implementation delay, no executive discretion over timing.</w:t>
      </w:r>
    </w:p>
    <w:p>
      <w:pPr>
        <w:spacing w:after="60" w:before="200"/>
        <w:ind w:left="431"/>
        <w:jc w:val="left"/>
      </w:pPr>
      <w:r>
        <w:rPr>
          <w:rFonts w:ascii="Courier New" w:cs="Courier New" w:eastAsia="Courier New" w:hAnsi="Courier New"/>
          <w:b/>
          <w:bCs/>
          <w:sz w:val="18"/>
          <w:szCs w:val="18"/>
        </w:rPr>
        <w:t xml:space="preserve">§17.3  </w:t>
      </w:r>
      <w:r>
        <w:rPr>
          <w:rFonts w:ascii="Garamond" w:cs="Garamond" w:eastAsia="Garamond" w:hAnsi="Garamond"/>
          <w:b w:val="false"/>
          <w:bCs w:val="false"/>
          <w:i/>
          <w:iCs/>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color w:val="2a2520"/>
          <w:sz w:val="22"/>
          <w:szCs w:val="22"/>
        </w:rPr>
        <w:t xml:space="preserve">An amendment that is logically inconsistent with an existing provision must either explicitly repeal the inconsistent provision or the inconsistency is treated as void. The LM publishes a consistency analysis of any proposed amendment within 30 days of passage by both chambers for a parliamentary amendment, or within 30 days of LM petition verification for a citizen initiative amendment — advisory, but a permanent public record of what the amendment changes. If a ratified amendment's consistency with existing provisions is disputed, the SC resolves the dispute on expedited review;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sz w:val="18"/>
          <w:szCs w:val="18"/>
        </w:rPr>
        <w:t xml:space="preserve">§17.4  </w:t>
      </w:r>
      <w:r>
        <w:rPr>
          <w:rFonts w:ascii="Garamond" w:cs="Garamond" w:eastAsia="Garamond" w:hAnsi="Garamond"/>
          <w:b w:val="false"/>
          <w:bCs w:val="false"/>
          <w:i/>
          <w:iCs/>
          <w:color w:val="1B2A4A"/>
          <w:sz w:val="22"/>
          <w:szCs w:val="22"/>
        </w:rPr>
        <w:t xml:space="preserve">Supremacy of This Constitution</w:t>
      </w:r>
    </w:p>
    <w:p>
      <w:pPr>
        <w:spacing w:after="120" w:before="0"/>
        <w:ind w:left="431"/>
        <w:jc w:val="both"/>
      </w:pPr>
      <w:r>
        <w:rPr>
          <w:rFonts w:ascii="Garamond" w:cs="Garamond" w:eastAsia="Garamond" w:hAnsi="Garamond"/>
          <w:b w:val="false"/>
          <w:b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XVIII — Federal Property and the Seat of Government</w:t>
      </w:r>
    </w:p>
    <w:p>
      <w:pPr>
        <w:spacing w:after="60" w:before="200"/>
        <w:ind w:left="431"/>
        <w:jc w:val="left"/>
      </w:pPr>
      <w:r>
        <w:rPr>
          <w:rFonts w:ascii="Courier New" w:cs="Courier New" w:eastAsia="Courier New" w:hAnsi="Courier New"/>
          <w:b/>
          <w:bCs/>
          <w:sz w:val="18"/>
          <w:szCs w:val="18"/>
        </w:rPr>
        <w:t xml:space="preserve">§18.1  </w:t>
      </w:r>
      <w:r>
        <w:rPr>
          <w:rFonts w:ascii="Garamond" w:cs="Garamond" w:eastAsia="Garamond" w:hAnsi="Garamond"/>
          <w:b w:val="false"/>
          <w:bCs w:val="false"/>
          <w:i/>
          <w:iCs/>
          <w:color w:val="1B2A4A"/>
          <w:sz w:val="22"/>
          <w:szCs w:val="22"/>
        </w:rPr>
        <w:t xml:space="preserve">The Use Doctrine</w:t>
      </w:r>
    </w:p>
    <w:p>
      <w:pPr>
        <w:spacing w:after="120" w:before="0"/>
        <w:ind w:left="431"/>
        <w:jc w:val="both"/>
      </w:pPr>
      <w:r>
        <w:rPr>
          <w:rFonts w:ascii="Garamond" w:cs="Garamond" w:eastAsia="Garamond" w:hAnsi="Garamond"/>
          <w:b w:val="false"/>
          <w:b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w:t>
      </w:r>
    </w:p>
    <w:p>
      <w:pPr>
        <w:spacing w:after="60" w:before="200"/>
        <w:ind w:left="431"/>
        <w:jc w:val="left"/>
      </w:pPr>
      <w:r>
        <w:rPr>
          <w:rFonts w:ascii="Courier New" w:cs="Courier New" w:eastAsia="Courier New" w:hAnsi="Courier New"/>
          <w:b/>
          <w:bCs/>
          <w:sz w:val="18"/>
          <w:szCs w:val="18"/>
        </w:rPr>
        <w:t xml:space="preserve">§18.2  </w:t>
      </w:r>
      <w:r>
        <w:rPr>
          <w:rFonts w:ascii="Garamond" w:cs="Garamond" w:eastAsia="Garamond" w:hAnsi="Garamond"/>
          <w:b w:val="false"/>
          <w:bCs w:val="false"/>
          <w:i/>
          <w:iCs/>
          <w:color w:val="1B2A4A"/>
          <w:sz w:val="22"/>
          <w:szCs w:val="22"/>
        </w:rPr>
        <w:t xml:space="preserve">Seat of Government</w:t>
      </w:r>
    </w:p>
    <w:p>
      <w:pPr>
        <w:spacing w:after="120" w:before="0"/>
        <w:ind w:left="431"/>
        <w:jc w:val="both"/>
      </w:pPr>
      <w:r>
        <w:rPr>
          <w:rFonts w:ascii="Garamond" w:cs="Garamond" w:eastAsia="Garamond" w:hAnsi="Garamond"/>
          <w:b w:val="false"/>
          <w:bCs w:val="false"/>
          <w:color w:val="2a2520"/>
          <w:sz w:val="22"/>
          <w:szCs w:val="22"/>
        </w:rPr>
        <w:t xml:space="preserve">The Republic holds no territorial sovereignty at its Seat of Government. The Seat is hosted by a State or Territory selected through a competitive bid process. The Civic Consul publishes a Requirements Specification to the NRS defining minimum functional, security, physical, and operational requirements; the Legislature establishes specific standards by statute. Any State or Territory may submit a bid; the Legislature selects one by ordinary statute. The hosting arrangement grants the federal government Operational Use Rights over the designated footprint;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federal government must issue a new call for bids every twenty years; if no bids are submitted, or if bids are submitted but none meet the published Requirements Specification, the existing arrangement continues and the Legislature may revise the Specification for the next cycle. When the Seat moves to a new host, a two-year transition window begins; prior improvements revert to the departing host with the land unless a retention agreement is reached within the statutory window.</w:t>
      </w:r>
    </w:p>
    <w:p>
      <w:pPr>
        <w:spacing w:after="60" w:before="200"/>
        <w:ind w:left="431"/>
        <w:jc w:val="left"/>
      </w:pPr>
      <w:r>
        <w:rPr>
          <w:rFonts w:ascii="Courier New" w:cs="Courier New" w:eastAsia="Courier New" w:hAnsi="Courier New"/>
          <w:b/>
          <w:bCs/>
          <w:sz w:val="18"/>
          <w:szCs w:val="18"/>
        </w:rPr>
        <w:t xml:space="preserve">§18.3  </w:t>
      </w:r>
      <w:r>
        <w:rPr>
          <w:rFonts w:ascii="Garamond" w:cs="Garamond" w:eastAsia="Garamond" w:hAnsi="Garamond"/>
          <w:b w:val="false"/>
          <w:bCs w:val="false"/>
          <w:i/>
          <w:iCs/>
          <w:color w:val="1B2A4A"/>
          <w:sz w:val="22"/>
          <w:szCs w:val="22"/>
        </w:rPr>
        <w:t xml:space="preserve">Operational Use Rights</w:t>
      </w:r>
    </w:p>
    <w:p>
      <w:pPr>
        <w:spacing w:after="120" w:before="0"/>
        <w:ind w:left="431"/>
        <w:jc w:val="both"/>
      </w:pPr>
      <w:r>
        <w:rPr>
          <w:rFonts w:ascii="Garamond" w:cs="Garamond" w:eastAsia="Garamond" w:hAnsi="Garamond"/>
          <w:b w:val="false"/>
          <w:b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sz w:val="18"/>
          <w:szCs w:val="18"/>
        </w:rPr>
        <w:t xml:space="preserve">§18.4  </w:t>
      </w:r>
      <w:r>
        <w:rPr>
          <w:rFonts w:ascii="Garamond" w:cs="Garamond" w:eastAsia="Garamond" w:hAnsi="Garamond"/>
          <w:b w:val="false"/>
          <w:bCs w:val="false"/>
          <w:i/>
          <w:iCs/>
          <w:color w:val="1B2A4A"/>
          <w:sz w:val="22"/>
          <w:szCs w:val="22"/>
        </w:rPr>
        <w:t xml:space="preserve">The National Trust</w:t>
      </w:r>
    </w:p>
    <w:p>
      <w:pPr>
        <w:spacing w:after="120" w:before="0"/>
        <w:ind w:left="431"/>
        <w:jc w:val="both"/>
      </w:pPr>
      <w:r>
        <w:rPr>
          <w:rFonts w:ascii="Garamond" w:cs="Garamond" w:eastAsia="Garamond" w:hAnsi="Garamond"/>
          <w:b w:val="false"/>
          <w:b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full seated membership of both chambers with host State consent; removal from Trust designation requires the same threshold plus SC review within 60 days confirming compliance with any applicable international obligations.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Legislature must establish by statute an independent National Trust Administrator;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sz w:val="18"/>
          <w:szCs w:val="18"/>
        </w:rPr>
        <w:t xml:space="preserve">§18.5  </w:t>
      </w:r>
      <w:r>
        <w:rPr>
          <w:rFonts w:ascii="Garamond" w:cs="Garamond" w:eastAsia="Garamond" w:hAnsi="Garamond"/>
          <w:b w:val="false"/>
          <w:bCs w:val="false"/>
          <w:i/>
          <w:iCs/>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color w:val="2a2520"/>
          <w:sz w:val="22"/>
          <w:szCs w:val="22"/>
        </w:rPr>
        <w:t xml:space="preserve">Federal operational use rights in Territories follow the same framework as in States under §18.3 and §18.4. Host State legislative consent is not required because Territories have no State legislature;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 **Article XIX — Transition and Ratification**</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XIX — Ratification and Transition</w:t>
      </w:r>
    </w:p>
    <w:p>
      <w:pPr>
        <w:spacing w:after="60" w:before="200"/>
        <w:ind w:left="431"/>
        <w:jc w:val="left"/>
      </w:pPr>
      <w:r>
        <w:rPr>
          <w:rFonts w:ascii="Courier New" w:cs="Courier New" w:eastAsia="Courier New" w:hAnsi="Courier New"/>
          <w:b/>
          <w:bCs/>
          <w:sz w:val="18"/>
          <w:szCs w:val="18"/>
        </w:rPr>
        <w:t xml:space="preserve">§19.1  </w:t>
      </w:r>
      <w:r>
        <w:rPr>
          <w:rFonts w:ascii="Garamond" w:cs="Garamond" w:eastAsia="Garamond" w:hAnsi="Garamond"/>
          <w:b w:val="false"/>
          <w:bCs w:val="false"/>
          <w:i/>
          <w:iCs/>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color w:val="2a2520"/>
          <w:sz w:val="22"/>
          <w:szCs w:val="22"/>
        </w:rPr>
        <w:t xml:space="preserve">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w:t>
      </w:r>
    </w:p>
    <w:p>
      <w:pPr>
        <w:spacing w:after="60" w:before="200"/>
        <w:ind w:left="431"/>
        <w:jc w:val="left"/>
      </w:pPr>
      <w:r>
        <w:rPr>
          <w:rFonts w:ascii="Courier New" w:cs="Courier New" w:eastAsia="Courier New" w:hAnsi="Courier New"/>
          <w:b/>
          <w:bCs/>
          <w:sz w:val="18"/>
          <w:szCs w:val="18"/>
        </w:rPr>
        <w:t xml:space="preserve">§19.2  </w:t>
      </w:r>
      <w:r>
        <w:rPr>
          <w:rFonts w:ascii="Garamond" w:cs="Garamond" w:eastAsia="Garamond" w:hAnsi="Garamond"/>
          <w:b w:val="false"/>
          <w:bCs w:val="false"/>
          <w:i/>
          <w:iCs/>
          <w:color w:val="1B2A4A"/>
          <w:sz w:val="22"/>
          <w:szCs w:val="22"/>
        </w:rPr>
        <w:t xml:space="preserve">Day Zero and Transition</w:t>
      </w:r>
    </w:p>
    <w:p>
      <w:pPr>
        <w:spacing w:after="120" w:before="0"/>
        <w:ind w:left="431"/>
        <w:jc w:val="both"/>
      </w:pPr>
      <w:r>
        <w:rPr>
          <w:rFonts w:ascii="Garamond" w:cs="Garamond" w:eastAsia="Garamond" w:hAnsi="Garamond"/>
          <w:b w:val="false"/>
          <w:b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sz w:val="18"/>
          <w:szCs w:val="18"/>
        </w:rPr>
        <w:t xml:space="preserve">§19.3  </w:t>
      </w:r>
      <w:r>
        <w:rPr>
          <w:rFonts w:ascii="Garamond" w:cs="Garamond" w:eastAsia="Garamond" w:hAnsi="Garamond"/>
          <w:b w:val="false"/>
          <w:bCs w:val="false"/>
          <w:i/>
          <w:iCs/>
          <w:color w:val="1B2A4A"/>
          <w:sz w:val="22"/>
          <w:szCs w:val="22"/>
        </w:rPr>
        <w:t xml:space="preserve">Caretaker Status</w:t>
      </w:r>
    </w:p>
    <w:p>
      <w:pPr>
        <w:spacing w:after="120" w:before="0"/>
        <w:ind w:left="431"/>
        <w:jc w:val="both"/>
      </w:pPr>
      <w:r>
        <w:rPr>
          <w:rFonts w:ascii="Garamond" w:cs="Garamond" w:eastAsia="Garamond" w:hAnsi="Garamond"/>
          <w:b w:val="false"/>
          <w:bCs w:val="false"/>
          <w:color w:val="2a2520"/>
          <w:sz w:val="22"/>
          <w:szCs w:val="22"/>
        </w:rPr>
        <w:t xml:space="preserve">All existing government officials serve as caretakers during the Transition Window — restricted to maintaining existing services only; no new permanent legislation.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sz w:val="18"/>
          <w:szCs w:val="18"/>
        </w:rPr>
        <w:t xml:space="preserve">§19.4  </w:t>
      </w:r>
      <w:r>
        <w:rPr>
          <w:rFonts w:ascii="Garamond" w:cs="Garamond" w:eastAsia="Garamond" w:hAnsi="Garamond"/>
          <w:b w:val="false"/>
          <w:bCs w:val="false"/>
          <w:i/>
          <w:iCs/>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color w:val="2a2520"/>
          <w:sz w:val="22"/>
          <w:szCs w:val="22"/>
        </w:rPr>
        <w:t xml:space="preserve">The Legislature must establish a Classification Review Commission within 90 days of Phase 4 activation.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sz w:val="18"/>
          <w:szCs w:val="18"/>
        </w:rPr>
        <w:t xml:space="preserve">§19.5  </w:t>
      </w:r>
      <w:r>
        <w:rPr>
          <w:rFonts w:ascii="Garamond" w:cs="Garamond" w:eastAsia="Garamond" w:hAnsi="Garamond"/>
          <w:b w:val="false"/>
          <w:bCs w:val="false"/>
          <w:i/>
          <w:iCs/>
          <w:color w:val="1B2A4A"/>
          <w:sz w:val="22"/>
          <w:szCs w:val="22"/>
        </w:rPr>
        <w:t xml:space="preserve">Pre-Existing Obligations</w:t>
      </w:r>
    </w:p>
    <w:p>
      <w:pPr>
        <w:spacing w:after="120" w:before="0"/>
        <w:ind w:left="431"/>
        <w:jc w:val="both"/>
      </w:pPr>
      <w:r>
        <w:rPr>
          <w:rFonts w:ascii="Garamond" w:cs="Garamond" w:eastAsia="Garamond" w:hAnsi="Garamond"/>
          <w:b w:val="false"/>
          <w:b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tier framework can apply; the Legat Consul, once inaugurated, must certify each active operation under the appropriate tier within 14 days or begin orderly cessation; operations not certified within 60 days cease unless the Legislature grants a one-time extension.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sz w:val="18"/>
          <w:szCs w:val="18"/>
        </w:rPr>
        <w:t xml:space="preserve">§19.6  </w:t>
      </w:r>
      <w:r>
        <w:rPr>
          <w:rFonts w:ascii="Garamond" w:cs="Garamond" w:eastAsia="Garamond" w:hAnsi="Garamond"/>
          <w:b w:val="false"/>
          <w:bCs w:val="false"/>
          <w:i/>
          <w:iCs/>
          <w:color w:val="1B2A4A"/>
          <w:sz w:val="22"/>
          <w:szCs w:val="22"/>
        </w:rPr>
        <w:t xml:space="preserve">Transition Territories</w:t>
      </w:r>
    </w:p>
    <w:p>
      <w:pPr>
        <w:spacing w:after="120" w:before="0"/>
        <w:ind w:left="431"/>
        <w:jc w:val="both"/>
      </w:pPr>
      <w:r>
        <w:rPr>
          <w:rFonts w:ascii="Garamond" w:cs="Garamond" w:eastAsia="Garamond" w:hAnsi="Garamond"/>
          <w:b w:val="false"/>
          <w:bCs w:val="false"/>
          <w:color w:val="2a2520"/>
          <w:sz w:val="22"/>
          <w:szCs w:val="22"/>
        </w:rPr>
        <w:t xml:space="preserve">Territories or subdivisions meeting the Statehood Audit by Phase 2 end may petition to enter as State or Territory. Those failing the Statehood Audit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sz w:val="18"/>
          <w:szCs w:val="18"/>
        </w:rPr>
        <w:t xml:space="preserve">§19.7  </w:t>
      </w:r>
      <w:r>
        <w:rPr>
          <w:rFonts w:ascii="Garamond" w:cs="Garamond" w:eastAsia="Garamond" w:hAnsi="Garamond"/>
          <w:b w:val="false"/>
          <w:bCs w:val="false"/>
          <w:i/>
          <w:iCs/>
          <w:color w:val="1B2A4A"/>
          <w:sz w:val="22"/>
          <w:szCs w:val="22"/>
        </w:rPr>
        <w:t xml:space="preserve">Transition Candidate Registers</w:t>
      </w:r>
    </w:p>
    <w:p>
      <w:pPr>
        <w:spacing w:after="120" w:before="0"/>
        <w:ind w:left="431"/>
        <w:jc w:val="both"/>
      </w:pPr>
      <w:r>
        <w:rPr>
          <w:rFonts w:ascii="Garamond" w:cs="Garamond" w:eastAsia="Garamond" w:hAnsi="Garamond"/>
          <w:b w:val="false"/>
          <w:b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w:t>
      </w:r>
    </w:p>
    <w:p>
      <w:pPr>
        <w:spacing w:after="60" w:before="200"/>
        <w:ind w:left="431"/>
        <w:jc w:val="left"/>
      </w:pPr>
      <w:r>
        <w:rPr>
          <w:rFonts w:ascii="Courier New" w:cs="Courier New" w:eastAsia="Courier New" w:hAnsi="Courier New"/>
          <w:b/>
          <w:bCs/>
          <w:sz w:val="18"/>
          <w:szCs w:val="18"/>
        </w:rPr>
        <w:t xml:space="preserve">§19.8  </w:t>
      </w:r>
      <w:r>
        <w:rPr>
          <w:rFonts w:ascii="Garamond" w:cs="Garamond" w:eastAsia="Garamond" w:hAnsi="Garamond"/>
          <w:b w:val="false"/>
          <w:bCs w:val="false"/>
          <w:i/>
          <w:iCs/>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color w:val="2a2520"/>
          <w:sz w:val="22"/>
          <w:szCs w:val="22"/>
        </w:rPr>
        <w:t xml:space="preserve">Where a ratifying polity’s predecessor government has documented constitutional violations, the Legislature may by statute passed by 2/3 of full seated membership of both chambers establish a Transitional Accountability Mechanism. Such a mechanism must be time-limited,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sz w:val="18"/>
          <w:szCs w:val="18"/>
        </w:rPr>
        <w:t xml:space="preserve">§19.9  </w:t>
      </w:r>
      <w:r>
        <w:rPr>
          <w:rFonts w:ascii="Garamond" w:cs="Garamond" w:eastAsia="Garamond" w:hAnsi="Garamond"/>
          <w:b w:val="false"/>
          <w:bCs w:val="false"/>
          <w:i/>
          <w:iCs/>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ind w:left="431"/>
        <w:jc w:val="left"/>
      </w:pPr>
      <w:r>
        <w:rPr>
          <w:rFonts w:ascii="Courier New" w:cs="Courier New" w:eastAsia="Courier New" w:hAnsi="Courier New"/>
          <w:b/>
          <w:bCs/>
          <w:sz w:val="18"/>
          <w:szCs w:val="18"/>
        </w:rPr>
        <w:t xml:space="preserve">§19.10  </w:t>
      </w:r>
      <w:r>
        <w:rPr>
          <w:rFonts w:ascii="Garamond" w:cs="Garamond" w:eastAsia="Garamond" w:hAnsi="Garamond"/>
          <w:b w:val="false"/>
          <w:bCs w:val="false"/>
          <w:i/>
          <w:iCs/>
          <w:color w:val="1B2A4A"/>
          <w:sz w:val="22"/>
          <w:szCs w:val="22"/>
        </w:rPr>
        <w:t xml:space="preserve">Founding Citizenship</w:t>
      </w:r>
    </w:p>
    <w:p>
      <w:pPr>
        <w:spacing w:after="120" w:before="0"/>
        <w:ind w:left="431"/>
        <w:jc w:val="both"/>
      </w:pPr>
      <w:r>
        <w:rPr>
          <w:rFonts w:ascii="Garamond" w:cs="Garamond" w:eastAsia="Garamond" w:hAnsi="Garamond"/>
          <w:b w:val="false"/>
          <w:bCs w:val="false"/>
          <w:color w:val="2a2520"/>
          <w:sz w:val="22"/>
          <w:szCs w:val="22"/>
        </w:rPr>
        <w:t xml:space="preserve">All individuals holding voting rights on Day Zero of ratification are automatically granted full citizenship as founding members of the Republic without testing or application.</w:t>
      </w:r>
    </w:p>
    <w:p>
      <w:pPr>
        <w:pageBreakBefore/>
        <w:pBdr>
          <w:bottom w:val="single" w:color="C9A84C" w:sz="4" w:space="6"/>
        </w:pBdr>
        <w:spacing w:after="280" w:before="0"/>
      </w:pPr>
      <w:r>
        <w:rPr>
          <w:rFonts w:ascii="Garamond" w:cs="Garamond" w:eastAsia="Garamond" w:hAnsi="Garamond"/>
          <w:b w:val="false"/>
          <w:bCs w:val="false"/>
          <w:color w:val="1B2A4A"/>
          <w:sz w:val="34"/>
          <w:szCs w:val="34"/>
        </w:rPr>
        <w:t xml:space="preserve">Article XX — Associated Community Relationships</w:t>
      </w:r>
    </w:p>
    <w:p>
      <w:pPr>
        <w:spacing w:after="60" w:before="200"/>
        <w:ind w:left="431"/>
        <w:jc w:val="left"/>
      </w:pPr>
      <w:r>
        <w:rPr>
          <w:rFonts w:ascii="Courier New" w:cs="Courier New" w:eastAsia="Courier New" w:hAnsi="Courier New"/>
          <w:b/>
          <w:bCs/>
          <w:sz w:val="18"/>
          <w:szCs w:val="18"/>
        </w:rPr>
        <w:t xml:space="preserve">§20.1  </w:t>
      </w:r>
      <w:r>
        <w:rPr>
          <w:rFonts w:ascii="Garamond" w:cs="Garamond" w:eastAsia="Garamond" w:hAnsi="Garamond"/>
          <w:b w:val="false"/>
          <w:bCs w:val="false"/>
          <w:i/>
          <w:iCs/>
          <w:color w:val="1B2A4A"/>
          <w:sz w:val="22"/>
          <w:szCs w:val="22"/>
        </w:rPr>
        <w:t xml:space="preserve">Associated Community Status</w:t>
      </w:r>
    </w:p>
    <w:p>
      <w:pPr>
        <w:spacing w:after="120" w:before="0"/>
        <w:ind w:left="431"/>
        <w:jc w:val="both"/>
      </w:pPr>
      <w:r>
        <w:rPr>
          <w:rFonts w:ascii="Garamond" w:cs="Garamond" w:eastAsia="Garamond" w:hAnsi="Garamond"/>
          <w:b w:val="false"/>
          <w:b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through the constitutional amendment process, or recognized as pre-existing sovereigns under Article XVI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sz w:val="18"/>
          <w:szCs w:val="18"/>
        </w:rPr>
        <w:t xml:space="preserve">§20.2  </w:t>
      </w:r>
      <w:r>
        <w:rPr>
          <w:rFonts w:ascii="Garamond" w:cs="Garamond" w:eastAsia="Garamond" w:hAnsi="Garamond"/>
          <w:b w:val="false"/>
          <w:bCs w:val="false"/>
          <w:i/>
          <w:iCs/>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sz w:val="18"/>
          <w:szCs w:val="18"/>
        </w:rPr>
        <w:t xml:space="preserve">§20.3  </w:t>
      </w:r>
      <w:r>
        <w:rPr>
          <w:rFonts w:ascii="Garamond" w:cs="Garamond" w:eastAsia="Garamond" w:hAnsi="Garamond"/>
          <w:b w:val="false"/>
          <w:bCs w:val="false"/>
          <w:i/>
          <w:iCs/>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Under §9.1, either chamber may request a JM assessment of compact compliance before proceeding to ratification.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sz w:val="18"/>
          <w:szCs w:val="18"/>
        </w:rPr>
        <w:t xml:space="preserve">§20.4  </w:t>
      </w:r>
      <w:r>
        <w:rPr>
          <w:rFonts w:ascii="Garamond" w:cs="Garamond" w:eastAsia="Garamond" w:hAnsi="Garamond"/>
          <w:b w:val="false"/>
          <w:bCs w:val="false"/>
          <w:i/>
          <w:iCs/>
          <w:color w:val="1B2A4A"/>
          <w:sz w:val="22"/>
          <w:szCs w:val="22"/>
        </w:rPr>
        <w:t xml:space="preserve">Sovereign Mobility</w:t>
      </w:r>
    </w:p>
    <w:p>
      <w:pPr>
        <w:spacing w:after="120" w:before="0"/>
        <w:ind w:left="431"/>
        <w:jc w:val="both"/>
      </w:pPr>
      <w:r>
        <w:rPr>
          <w:rFonts w:ascii="Garamond" w:cs="Garamond" w:eastAsia="Garamond" w:hAnsi="Garamond"/>
          <w:b w:val="false"/>
          <w:b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sz w:val="18"/>
          <w:szCs w:val="18"/>
        </w:rPr>
        <w:t xml:space="preserve">§20.5  </w:t>
      </w:r>
      <w:r>
        <w:rPr>
          <w:rFonts w:ascii="Garamond" w:cs="Garamond" w:eastAsia="Garamond" w:hAnsi="Garamond"/>
          <w:b w:val="false"/>
          <w:bCs w:val="false"/>
          <w:i/>
          <w:iCs/>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sz w:val="18"/>
          <w:szCs w:val="18"/>
        </w:rPr>
        <w:t xml:space="preserve">§20.6  </w:t>
      </w:r>
      <w:r>
        <w:rPr>
          <w:rFonts w:ascii="Garamond" w:cs="Garamond" w:eastAsia="Garamond" w:hAnsi="Garamond"/>
          <w:b w:val="false"/>
          <w:bCs w:val="false"/>
          <w:i/>
          <w:iCs/>
          <w:color w:val="1B2A4A"/>
          <w:sz w:val="22"/>
          <w:szCs w:val="22"/>
        </w:rPr>
        <w:t xml:space="preserve">Compact Ratification</w:t>
      </w:r>
    </w:p>
    <w:p>
      <w:pPr>
        <w:spacing w:after="120" w:before="0"/>
        <w:ind w:left="431"/>
        <w:jc w:val="both"/>
      </w:pPr>
      <w:r>
        <w:rPr>
          <w:rFonts w:ascii="Garamond" w:cs="Garamond" w:eastAsia="Garamond" w:hAnsi="Garamond"/>
          <w:b w:val="false"/>
          <w:b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sz w:val="18"/>
          <w:szCs w:val="18"/>
        </w:rPr>
        <w:t xml:space="preserve">§20.7  </w:t>
      </w:r>
      <w:r>
        <w:rPr>
          <w:rFonts w:ascii="Garamond" w:cs="Garamond" w:eastAsia="Garamond" w:hAnsi="Garamond"/>
          <w:b w:val="false"/>
          <w:bCs w:val="false"/>
          <w:i/>
          <w:iCs/>
          <w:color w:val="1B2A4A"/>
          <w:sz w:val="22"/>
          <w:szCs w:val="22"/>
        </w:rPr>
        <w:t xml:space="preserve">Compact Continuity</w:t>
      </w:r>
    </w:p>
    <w:p>
      <w:pPr>
        <w:spacing w:after="120" w:before="0"/>
        <w:ind w:left="431"/>
        <w:jc w:val="both"/>
      </w:pPr>
      <w:r>
        <w:rPr>
          <w:rFonts w:ascii="Garamond" w:cs="Garamond" w:eastAsia="Garamond" w:hAnsi="Garamond"/>
          <w:b w:val="false"/>
          <w:b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2026-06-21T08:38:28.196Z</dcterms:created>
  <dcterms:modified xsi:type="dcterms:W3CDTF">2026-06-21T08:38:28.209Z</dcterms:modified>
</cp:coreProperties>
</file>

<file path=docProps/custom.xml><?xml version="1.0" encoding="utf-8"?>
<Properties xmlns="http://schemas.openxmlformats.org/officeDocument/2006/custom-properties" xmlns:vt="http://schemas.openxmlformats.org/officeDocument/2006/docPropsVTypes"/>
</file>