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pPr>
        <w:spacing w:after="120"/>
        <w:ind w:left="431"/>
        <w:jc w:val="both"/>
      </w:pPr>
      <w:r>
        <w:rPr>
          <w:rFonts w:ascii="Garamond" w:eastAsia="Garamond" w:hAnsi="Garamond" w:cs="Garamond"/>
          <w:color w:val="2A2A2A"/>
          <w:sz w:val="22"/>
          <w:szCs w:val="22"/>
        </w:rPr>
        <w:t xml:space="preserve">(1) 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w:t>
      </w:r>
    </w:p>
    <w:p>
      <w:pPr>
        <w:spacing w:after="120"/>
        <w:ind w:left="431"/>
        <w:jc w:val="both"/>
      </w:pPr>
      <w:r>
        <w:rPr>
          <w:rFonts w:ascii="Garamond" w:eastAsia="Garamond" w:hAnsi="Garamond" w:cs="Garamond"/>
          <w:color w:val="2A2A2A"/>
          <w:sz w:val="22"/>
          <w:szCs w:val="22"/>
        </w:rPr>
        <w:t xml:space="preserve">(2) The Assembly gives the Consuls' proposals due consideration in preparing the annual budget and is not bound by them.</w:t>
      </w:r>
    </w:p>
    <w:p>
      <w:pPr>
        <w:spacing w:after="120"/>
        <w:ind w:left="431"/>
        <w:jc w:val="both"/>
      </w:pPr>
      <w:r>
        <w:rPr>
          <w:rFonts w:ascii="Garamond" w:eastAsia="Garamond" w:hAnsi="Garamond" w:cs="Garamond"/>
          <w:color w:val="2A2A2A"/>
          <w:sz w:val="22"/>
          <w:szCs w:val="22"/>
        </w:rPr>
        <w:t xml:space="preserve">(3) A Consul's failure to submit a domain proposal does not delay or bar the budget process; the failure is published to the NRS and the Assembly proceeds.</w:t>
      </w:r>
    </w:p>
    <w:p>
      <w:pPr>
        <w:spacing w:after="120"/>
        <w:ind w:left="431"/>
        <w:jc w:val="both"/>
      </w:pPr>
      <w:r>
        <w:rPr>
          <w:rFonts w:ascii="Garamond" w:eastAsia="Garamond" w:hAnsi="Garamond" w:cs="Garamond"/>
          <w:color w:val="2A2A2A"/>
          <w:sz w:val="22"/>
          <w:szCs w:val="22"/>
        </w:rPr>
        <w:t xml:space="preserve">(4) The Legislature must pass a balanced budget or publish a structural deficit justification reviewed by the MA for fiscal accuracy.</w:t>
      </w:r>
    </w:p>
    <w:p>
      <w:pPr>
        <w:spacing w:after="120"/>
        <w:ind w:left="431"/>
        <w:jc w:val="both"/>
      </w:pPr>
      <w:r>
        <w:rPr>
          <w:rFonts w:ascii="Garamond" w:eastAsia="Garamond" w:hAnsi="Garamond" w:cs="Garamond"/>
          <w:color w:val="2A2A2A"/>
          <w:sz w:val="22"/>
          <w:szCs w:val="22"/>
        </w:rPr>
        <w:t xml:space="preserve">(5) Structural deficits above the threshold defined by the MA require a published plan for return to balance.</w:t>
      </w:r>
    </w:p>
    <w:p>
      <w:pPr>
        <w:spacing w:after="120"/>
        <w:ind w:left="431"/>
        <w:jc w:val="both"/>
      </w:pPr>
      <w:r>
        <w:rPr>
          <w:rFonts w:ascii="Garamond" w:eastAsia="Garamond" w:hAnsi="Garamond" w:cs="Garamond"/>
          <w:color w:val="2A2A2A"/>
          <w:sz w:val="22"/>
          <w:szCs w:val="22"/>
        </w:rPr>
        <w:t xml:space="preserve">(6) Where the Legislature fails to enact a budget by the constitutional deadline defined by statute, an interim automatic appropriation takes effect by constitutional operation covering:</w:t>
      </w:r>
    </w:p>
    <w:p>
      <w:pPr>
        <w:spacing w:after="120"/>
        <w:ind w:left="720"/>
        <w:jc w:val="both"/>
      </w:pPr>
      <w:r>
        <w:rPr>
          <w:rFonts w:ascii="Garamond" w:eastAsia="Garamond" w:hAnsi="Garamond" w:cs="Garamond"/>
          <w:color w:val="2A2A2A"/>
          <w:sz w:val="22"/>
          <w:szCs w:val="22"/>
        </w:rPr>
        <w:t xml:space="preserve">— judicial operations, active defense authorizations under §14.2, and social state continuity under §12.1;</w:t>
      </w:r>
    </w:p>
    <w:p>
      <w:pPr>
        <w:spacing w:after="120"/>
        <w:ind w:left="720"/>
        <w:jc w:val="both"/>
      </w:pPr>
      <w:r>
        <w:rPr>
          <w:rFonts w:ascii="Garamond" w:eastAsia="Garamond" w:hAnsi="Garamond" w:cs="Garamond"/>
          <w:color w:val="2A2A2A"/>
          <w:sz w:val="22"/>
          <w:szCs w:val="22"/>
        </w:rPr>
        <w:t xml:space="preserve">— civil service compensation;</w:t>
      </w:r>
    </w:p>
    <w:p>
      <w:pPr>
        <w:spacing w:after="120"/>
        <w:ind w:left="720"/>
        <w:jc w:val="both"/>
      </w:pPr>
      <w:r>
        <w:rPr>
          <w:rFonts w:ascii="Garamond" w:eastAsia="Garamond" w:hAnsi="Garamond" w:cs="Garamond"/>
          <w:color w:val="2A2A2A"/>
          <w:sz w:val="22"/>
          <w:szCs w:val="22"/>
        </w:rPr>
        <w:t xml:space="preserve">— and debt service obligations.</w:t>
      </w:r>
    </w:p>
    <w:p>
      <w:pPr>
        <w:spacing w:after="120"/>
        <w:ind w:left="431"/>
        <w:jc w:val="both"/>
      </w:pPr>
      <w:r>
        <w:rPr>
          <w:rFonts w:ascii="Garamond" w:eastAsia="Garamond" w:hAnsi="Garamond" w:cs="Garamond"/>
          <w:color w:val="2A2A2A"/>
          <w:sz w:val="22"/>
          <w:szCs w:val="22"/>
        </w:rPr>
        <w:t xml:space="preserve">(7) The interim appropriation continues at the prior fiscal year's inflation-adjusted level until a budget is enacted; no new programs may be initiated or expanded under the interim appropriation.</w:t>
      </w:r>
    </w:p>
    <w:p>
      <w:pPr>
        <w:spacing w:after="120"/>
        <w:ind w:left="431"/>
        <w:jc w:val="both"/>
      </w:pPr>
      <w:r>
        <w:rPr>
          <w:rFonts w:ascii="Garamond" w:eastAsia="Garamond" w:hAnsi="Garamond" w:cs="Garamond"/>
          <w:color w:val="2A2A2A"/>
          <w:sz w:val="22"/>
          <w:szCs w:val="22"/>
        </w:rPr>
        <w:t xml:space="preserve">(8)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pPr>
        <w:spacing w:after="120"/>
        <w:ind w:left="431"/>
        <w:jc w:val="both"/>
      </w:pPr>
      <w:r>
        <w:rPr>
          <w:rFonts w:ascii="Garamond" w:eastAsia="Garamond" w:hAnsi="Garamond" w:cs="Garamond"/>
          <w:color w:val="2A2A2A"/>
          <w:sz w:val="22"/>
          <w:szCs w:val="22"/>
        </w:rPr>
        <w:t xml:space="preserve">(1) A financial interest includes any holding, income source, liability, business relationship, or similar economic interest; a financial interest is disqualifying where it creates a direct and material conflict between an officer's personal economic interest and the impartial exercise of their official duties, with statute permitted to further specify categories and thresholds consistent with this standard.</w:t>
      </w:r>
    </w:p>
    <w:p>
      <w:pPr>
        <w:spacing w:after="120"/>
        <w:ind w:left="431"/>
        <w:jc w:val="both"/>
      </w:pPr>
      <w:r>
        <w:rPr>
          <w:rFonts w:ascii="Garamond" w:eastAsia="Garamond" w:hAnsi="Garamond" w:cs="Garamond"/>
          <w:color w:val="2A2A2A"/>
          <w:sz w:val="22"/>
          <w:szCs w:val="22"/>
        </w:rPr>
        <w:t xml:space="preserve">(2)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w:t>
      </w:r>
    </w:p>
    <w:p>
      <w:pPr>
        <w:spacing w:after="120"/>
        <w:ind w:left="431"/>
        <w:jc w:val="both"/>
      </w:pPr>
      <w:r>
        <w:rPr>
          <w:rFonts w:ascii="Garamond" w:eastAsia="Garamond" w:hAnsi="Garamond" w:cs="Garamond"/>
          <w:color w:val="2A2A2A"/>
          <w:sz w:val="22"/>
          <w:szCs w:val="22"/>
        </w:rPr>
        <w:t xml:space="preserve">(3) Candidates for a Monitor General's own candidate pool are audited for financial disclosure by the other two Monitors jointly rather than by the Monitor whose pool they would join, as provided in §9.3 and §9.4.</w:t>
      </w:r>
    </w:p>
    <w:p>
      <w:pPr>
        <w:spacing w:after="120"/>
        <w:ind w:left="431"/>
        <w:jc w:val="both"/>
      </w:pPr>
      <w:r>
        <w:rPr>
          <w:rFonts w:ascii="Garamond" w:eastAsia="Garamond" w:hAnsi="Garamond" w:cs="Garamond"/>
          <w:color w:val="2A2A2A"/>
          <w:sz w:val="22"/>
          <w:szCs w:val="22"/>
        </w:rPr>
        <w:t xml:space="preserve">(4) Any officer with a direct financial interest in a decision within their authority must recuse themselves; recusal is self-executing.</w:t>
      </w:r>
    </w:p>
    <w:p>
      <w:pPr>
        <w:spacing w:after="120"/>
        <w:ind w:left="431"/>
        <w:jc w:val="both"/>
      </w:pPr>
      <w:r>
        <w:rPr>
          <w:rFonts w:ascii="Garamond" w:eastAsia="Garamond" w:hAnsi="Garamond" w:cs="Garamond"/>
          <w:color w:val="2A2A2A"/>
          <w:sz w:val="22"/>
          <w:szCs w:val="22"/>
        </w:rPr>
        <w:t xml:space="preserve">(5) Any decision made without required recusal is voidable; the relevant chamber may void the decision by simple majority within 90 days of the conflict becoming a matter of public record on the NRS.</w:t>
      </w:r>
    </w:p>
    <w:p>
      <w:pPr>
        <w:spacing w:after="120"/>
        <w:ind w:left="431"/>
        <w:jc w:val="both"/>
      </w:pPr>
      <w:r>
        <w:rPr>
          <w:rFonts w:ascii="Garamond" w:eastAsia="Garamond" w:hAnsi="Garamond" w:cs="Garamond"/>
          <w:color w:val="2A2A2A"/>
          <w:sz w:val="22"/>
          <w:szCs w:val="22"/>
        </w:rPr>
        <w:t xml:space="preserve">(6)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w:t>
      </w:r>
    </w:p>
    <w:p>
      <w:pPr>
        <w:spacing w:after="120"/>
        <w:ind w:left="431"/>
        <w:jc w:val="both"/>
      </w:pPr>
      <w:r>
        <w:rPr>
          <w:rFonts w:ascii="Garamond" w:eastAsia="Garamond" w:hAnsi="Garamond" w:cs="Garamond"/>
          <w:color w:val="2A2A2A"/>
          <w:sz w:val="22"/>
          <w:szCs w:val="22"/>
        </w:rPr>
        <w:t xml:space="preserve">(7) Officers may not accept gifts above a de minimis threshold; all gifts above the threshold must be disclosed to their respective Monitor and deposited with the relevant treasury.</w:t>
      </w:r>
    </w:p>
    <w:p>
      <w:pPr>
        <w:spacing w:after="120"/>
        <w:ind w:left="431"/>
        <w:jc w:val="both"/>
      </w:pPr>
      <w:r>
        <w:rPr>
          <w:rFonts w:ascii="Garamond" w:eastAsia="Garamond" w:hAnsi="Garamond" w:cs="Garamond"/>
          <w:color w:val="2A2A2A"/>
          <w:sz w:val="22"/>
          <w:szCs w:val="22"/>
        </w:rPr>
        <w:t xml:space="preserve">(8) All records created in the exercise of official functions are public records and may not be retained, destroyed, or removed by departing officers.</w:t>
      </w:r>
    </w:p>
    <w:p>
      <w:pPr>
        <w:spacing w:after="120"/>
        <w:ind w:left="431"/>
        <w:jc w:val="both"/>
      </w:pPr>
      <w:r>
        <w:rPr>
          <w:rFonts w:ascii="Garamond" w:eastAsia="Garamond" w:hAnsi="Garamond" w:cs="Garamond"/>
          <w:color w:val="2A2A2A"/>
          <w:sz w:val="22"/>
          <w:szCs w:val="22"/>
        </w:rPr>
        <w:t xml:space="preserve">(9)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pPr>
        <w:spacing w:after="120"/>
        <w:ind w:left="431"/>
        <w:jc w:val="both"/>
      </w:pPr>
      <w:r>
        <w:rPr>
          <w:rFonts w:ascii="Garamond" w:eastAsia="Garamond" w:hAnsi="Garamond" w:cs="Garamond"/>
          <w:color w:val="2A2A2A"/>
          <w:sz w:val="22"/>
          <w:szCs w:val="22"/>
        </w:rPr>
        <w:t xml:space="preserve">(1) Citizens may initiate a national referendum to repeal enacted legislation. The petition process begins within 90 days of enactment and proceeds in two phases, each authenticated through the NVS using Citizen Voting Credentials.</w:t>
      </w:r>
    </w:p>
    <w:p>
      <w:pPr>
        <w:spacing w:after="120"/>
        <w:ind w:left="431"/>
        <w:jc w:val="both"/>
      </w:pPr>
      <w:r>
        <w:rPr>
          <w:rFonts w:ascii="Garamond" w:eastAsia="Garamond" w:hAnsi="Garamond" w:cs="Garamond"/>
          <w:color w:val="2A2A2A"/>
          <w:sz w:val="22"/>
          <w:szCs w:val="22"/>
        </w:rPr>
        <w:t xml:space="preserve">(2) Phase One, lasting up to 8 months, requires signatures from citizens equal to a percentage of eligible voters — defined by statute at not less than 0.5% nor more than 3% — in each of at least one-third of all States and Territories.</w:t>
      </w:r>
    </w:p>
    <w:p>
      <w:pPr>
        <w:spacing w:after="120"/>
        <w:ind w:left="431"/>
        <w:jc w:val="both"/>
      </w:pPr>
      <w:r>
        <w:rPr>
          <w:rFonts w:ascii="Garamond" w:eastAsia="Garamond" w:hAnsi="Garamond" w:cs="Garamond"/>
          <w:color w:val="2A2A2A"/>
          <w:sz w:val="22"/>
          <w:szCs w:val="22"/>
        </w:rPr>
        <w:t xml:space="preserve">(3) Phase Two, lasting up to 8 months following Phase One's completion, requires signatures from 5% of eligible voters nationally; signatures gathered in Phase One carry over and count toward this threshold.</w:t>
      </w:r>
    </w:p>
    <w:p>
      <w:pPr>
        <w:spacing w:after="120"/>
        <w:ind w:left="431"/>
        <w:jc w:val="both"/>
      </w:pPr>
      <w:r>
        <w:rPr>
          <w:rFonts w:ascii="Garamond" w:eastAsia="Garamond" w:hAnsi="Garamond" w:cs="Garamond"/>
          <w:color w:val="2A2A2A"/>
          <w:sz w:val="22"/>
          <w:szCs w:val="22"/>
        </w:rPr>
        <w:t xml:space="preserve">(4) Laws that solely or primarily expand an Article I right, budget laws, and laws implementing a constitutionally mandated obligation are ineligible.</w:t>
      </w:r>
    </w:p>
    <w:p>
      <w:pPr>
        <w:spacing w:after="120"/>
        <w:ind w:left="431"/>
        <w:jc w:val="both"/>
      </w:pPr>
      <w:r>
        <w:rPr>
          <w:rFonts w:ascii="Garamond" w:eastAsia="Garamond" w:hAnsi="Garamond" w:cs="Garamond"/>
          <w:color w:val="2A2A2A"/>
          <w:sz w:val="22"/>
          <w:szCs w:val="22"/>
        </w:rPr>
        <w:t xml:space="preserve">(5)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w:t>
      </w:r>
    </w:p>
    <w:p>
      <w:pPr>
        <w:spacing w:after="120"/>
        <w:ind w:left="431"/>
        <w:jc w:val="both"/>
      </w:pPr>
      <w:r>
        <w:rPr>
          <w:rFonts w:ascii="Garamond" w:eastAsia="Garamond" w:hAnsi="Garamond" w:cs="Garamond"/>
          <w:color w:val="2A2A2A"/>
          <w:sz w:val="22"/>
          <w:szCs w:val="22"/>
        </w:rPr>
        <w:t xml:space="preserve">(6)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w:t>
      </w:r>
    </w:p>
    <w:p>
      <w:pPr>
        <w:spacing w:after="120"/>
        <w:ind w:left="431"/>
        <w:jc w:val="both"/>
      </w:pPr>
      <w:r>
        <w:rPr>
          <w:rFonts w:ascii="Garamond" w:eastAsia="Garamond" w:hAnsi="Garamond" w:cs="Garamond"/>
          <w:color w:val="2A2A2A"/>
          <w:sz w:val="22"/>
          <w:szCs w:val="22"/>
        </w:rPr>
        <w:t xml:space="preserve">(7)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