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Both executives must approve the designation within 5 days of the vacancy arising; the designation is published to the NRS immediately.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no later than 24 months before the incumbent’s term expires, to ensure confirmation is complete before the transition;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no later than 24 months before the incumbent’s term expires;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no later than 24 months before the incumbent’s term expires;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 Any IG may be removed without cause by 3/4 of both chambers simultaneously, except the JI IG — whose lottery-based selection makes no-cause removal equivalent to a political veto over the draw result — who may be removed for cause only under §8.15.</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standing constitutional body of five members that determines, before any qualifying for-cause removal vote, whether the stated grounds are substantiated within the enumerated constitutional categories for the relevant office. The Panel publishes a binary finding only — grounds substantiated or unsubstantiated. Each State maintains a standing State Designee Pool; eligibility requires at least five years of citizenship, no current or recent federal office, and no pending federal criminal proceedings. Pool membership is a public NRS record maintained by the LI. The JIC constitutes the Panel by lottery from the combined national pool at the start of each two-year cycle; members serve two-year terms with staggered rotation so no more than three seats turn over in any single cycle. The Panel is available immediately upon any qualifying proceeding. The Panel determines only whether the stated grounds, as documented in the submitted record, constitute at least one enumerated constitutional category for the subject office — it does not independently investigate or assess credibility. The Panel must issue its finding within the period defined by statute. A substantiated finding authorises the Legislature to proceed to a removal vote and triggers applicable duty suspension. The subject officer may petition the SC; the Court reviews only whether constitutional categories were correctly applied; a petition does not automatically stay duty suspension.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Parliamentary Amendment: A 2/3 supermajority of the full seated membership of both chambers proposes the amendment.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(§4.1.c) and elected executives. Two removal tracks are available. Standard Track: A substantiated finding from a State Designee Panel under §8.9 constitutes for-cause grounds; duty suspension is automatic on publication of the finding; removal requires a 2/3 vote of both chambers simultaneously; no removal vote may be held within 180 days of a major national election without prior SC review within 48 hours; either finding is a constitutional record.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