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 Where the EM publishes a finding that the veto falls outside the Legat Consul's defined domain, either Speaker may petition the SC for an expedited domain determination; the SC must rule within 7 days of such petition.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within 90 days of the JM publishing the nominee’s pool certification to the NRS; failure to act within that period is a constitutional compliance breach reported by the LM.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outside the four certified categories;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the period defined by statute.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