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Where the executives dispute whether a provision requires new domestic legislation for purposes of the concurrence default, either executive may refer the classification question to the SC for expedited determination within the concurrence period.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A solvency objection requires an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 Judicial review of any lead designation must be initiated within 90 days of the lead designation taking effect regardless of whether the emergency is characterized as ongoing; the SC holds expedited jurisdiction over such review.</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existing scope of government functions continues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Legislative compensation and accommodation standards may not be set by the Legislature itself.</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No citizenship may be stripped from a natural-born citizen. Where a child born on Republic territory would hold no other citizenship, or would otherwise be stateless regardless of birthplace, citizenship is granted from birth.</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may be published by the other two Monitors as a non-responsiveness finding to the NRS.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audit findings on the nominee’s disclosure record published to the NRS before the vote — the executives are excluded and neither Speaker can act alone. The JM Monitor General is selected by public lottery from a pool of former judges audited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audited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audited jointly by the LM and JM, sufficiently in advance under the timeline defined by statute under §3.13; confirmed by national popular vote at the next federal electoral period following nomination, by simple majority of votes cast, with JM audit findings on the nominee’s disclosure record published to the NRS before the vote. The same timing and failed-vote provisions apply. Where the Assembly Speaker and Senate Speaker fail to jointly nominate within 60 days of a vacancy being published to the NRS, the Senate selects a nominee from the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SC Candidate Registry,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audit findings are public NRS records at all times. The Joint Monitor Council conducts the draw in a public session, certifies the result jointly, and publishes it to the NRS. Where selection is by deliberate nomination, the named officer nominates from pool members. Where confirmation is required, the Senate must act within the period defined by the establishing provision; failure to confirm within that period is a constitutional compliance breach.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Where the NRS Panel determines by unanimous vote that a record was published in error and its continued availability poses an imminent, specific, and documented threat to individual safety, the NRS Panel may temporarily restrict access for a period not to exceed 30 days while the SC reviews the restriction; the SC must rule within 14 days; the record is permanently restored unless the SC confirms the restriction on the narrowest possible grounds. The original record timestamp and the restriction record both remain as permanent NRS entries.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documented and published to the NRS,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60% of votes cast with at least 50% citizen participation.</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that failure is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and acceptance by the Legislature by 2/3 of both chambers. Under §9.1, either chamber may request a JM assessment of the entity's compliance with §1.19.b before the incorporation vote; published JM findings must be given due consideration. Any person with standing may challenge the incorporation before the SC on the ground that the entity systematically violates §1.19.b.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Elections Panel,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Elections Panel petition verification. Citizen initiative amendments are subject to §17.3 consistency analysis by the LM, advisory only. Amendment of the following provisions requires Popular Ratification regardless of the amendment’s origin: the Monitor selection mechanisms and independence protections (§9.2–§9.5), the Monitor information-only mandate and non-dependency principle (§9.1), the Monitor funding guarantee (§9.10), the NRS architecture and permanence requirements (§10.1), and the Elections Panel and NRS Panel independence (§11.1). These provisions may not be amended by State Ratification alone.</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§5.1.a,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sovereign nations — those that have achieved full sovereignty through a status election under §16.7, through the constitutional amendment process, or recognized as pre-existing sovereigns under Article XVI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