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and must be a serving member of the Assembly as required by §2.6.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Assembly Speaker serves as Acting Civic Consul by constitutional operation, with authority limited to maintaining existing policy, until a Civic Consul is elected or designated under this section; the acting service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