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sub-provisions protect bodily and digital sovereignty: §1.9.a protects the absolute right to refuse any medical procedure or biological sampling; §1.9.b protects personal data, likeness, and biometric information from government collection or profiling; §1.9.c protects cryptographic keys as private property against compelled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Government mapping of associations — who a person knows, meets, communicates with, or joins — requires the same specific judicial authorization as communications collection under §1.29.c. Bulk mapping of associational activity is prohibited on the same terms as bulk collection. The privacy of associational membership is protected separately from the right to associate under §1.6 — a government may not compel disclosure of membership even where it refrains from prohibiting association.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President holds enumerated executive authority over: military command, foreign affairs, intelligence, treaty negotiation, trade agreements, domain officer appointments, and the domain-scoped veto. Presidential authority is enumerated; PM authority is residual. Any question about which executive holds a given function resolves to the PM unless the President can identify a specific enumerated power in this Article.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The President negotiates and concludes trade agreements; PM written concurrence is required where the agreement materially affects the domestic economy. National treatment obligations within Republic territory require PM concurrence, as they directly govern how domestic industry is regulated. Where PM concurrence is withheld, domestic provisions may be transmitted to the House Speaker as ordinary legislation. Ratification requires a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holds residual executive authority over all functions not enumerated as Presidential: domestic policy, fiscal policy, BNF administration, legislation review, judicial nominations, independent agency appointments, and PM clemency for domestic offenses. The PM answers to the House through the confidence mechanism and does not require presidential confirmation for the exercise of the domestic domain.</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Domestic Policy Authority</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Fiscal and Budget Authority</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Legislative Review Period</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Where the PM is temporarily unable to exercise authority, the most senior Domestic Affairs Council Officer (SDACO) serves as Caretaker PM. The SDACO's authority is limited to maintaining existing policy and emergency functions. Caretaker status expires when a new PM is confirmed by the House.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PM Formation and Senate Designation</w:t>
      </w:r>
    </w:p>
    <w:p>
      <w:pPr>
        <w:spacing w:after="120" w:before="0"/>
        <w:ind w:left="863"/>
        <w:jc w:val="both"/>
      </w:pPr>
      <w:r>
        <w:rPr>
          <w:rFonts w:ascii="Garamond" w:cs="Garamond" w:eastAsia="Garamond" w:hAnsi="Garamond"/>
          <w:color w:val="2a2520"/>
          <w:sz w:val="22"/>
          <w:szCs w:val="22"/>
        </w:rPr>
        <w:t xml:space="preserve">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The Legislature may override by 2/3 of both chambers simultaneously. The PM must give the LI's constitutional analysis due consideration before issuing a Suspensive Veto. A veto issued without genuine constitutional grounds is a constitutional breach reportable by the EI.</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Deemed Enactment</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Legislative Review Period — Duration</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Permanent Incapacity Assessment</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thereafter if temporary incapacity is certified. Failure to conduct the mandatory 90-day assessment is a constitutional failure for both the PM and the Senate Speaker.</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Legislative Calendar and Session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Legislative Compensation and Disclosure</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Senate Composition</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Fiscal Origination</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Senate Electoral Functions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Senate Internal Rules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Committees</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 reviews the presidential veto under §2.1.f.i before any override vote may proceed.</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LI Redistricting Review</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Redistricting Cycle</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At-Large Seats</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District Vacancy</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Redistricting Transparency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863"/>
      </w:pPr>
      <w:r>
        <w:rPr>
          <w:rFonts w:ascii="Courier New" w:cs="Courier New" w:eastAsia="Courier New" w:hAnsi="Courier New"/>
          <w:b/>
          <w:bCs/>
          <w:color w:val="1B2A4A"/>
          <w:sz w:val="18"/>
          <w:szCs w:val="18"/>
        </w:rPr>
        <w:t xml:space="preserve">§3.4.h  </w:t>
      </w:r>
      <w:r>
        <w:rPr>
          <w:rFonts w:ascii="Garamond" w:cs="Garamond" w:eastAsia="Garamond" w:hAnsi="Garamond"/>
          <w:b/>
          <w:bCs/>
          <w:color w:val="1B2A4A"/>
          <w:sz w:val="22"/>
          <w:szCs w:val="22"/>
        </w:rPr>
        <w:t xml:space="preserve">Redistricting Challenge</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Inspectorate Access to Legislative Records</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LI Pre-Passage Constitutional Review</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Committee Structure</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Joint Sessions</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Legislative Ethics and Conduct</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Legislative Privilege</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Senate Confirmation of Independent Officers</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Removal of Independent Officers</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The PM nominates inferior court judges within 90 days of a vacancy. The Senate confirms by a supermajority of 55–67% of full seated membership, as the Legislature defines by statute. Before the confirmation vote, the PM submits the nominee's disclosure record to the EI; the EI publishes its review before the vote. Where the PM fails to nominate within 90 days, the Senate may nominate directly. The confirmation period is prorated where nomination occurs late. No vacancy may remain unfilled beyond 180 days; Deemed Confirmation applies at that ceiling if no vote has been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&amp;#x201C;continuous service&amp;#x201D;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Initial Class Assignment</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Judicial Review Authority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Judicial Scope</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Statutory Interpretation</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Non-Discrimination in Recognition</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Indefinite unreviewed detention is not a constitutionally available outcome.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Ranked Choice Voting conducted nationally. Votes transfer until one candidate holds a majority of active ballots nationwide. A candidate must achieve both a national majority and broad geographic distribution under the combined score mechanism in §7.2.b. The Electoral Commission administers the national election and certifies results under §7.2.e.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determines the winner. The combined score weights national first-preference totals at 65% and regional performance across the presidential election regions at 35%. The regional component requires a winning candidate to demonstrate support distributed across the Republic's geographic breadth, not only its most densely populated areas. The formula is published by statute and administered by the Electoral Commission.</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Information-Only Mandate</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NRS Publication Requirement</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Classification Exemption for Inspectorate Reports</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Annual State of the Republic Report</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Joint Investigation Authority</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Investigative Access</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pPr>
      <w:r>
        <w:rPr>
          <w:rFonts w:ascii="Courier New" w:cs="Courier New" w:eastAsia="Courier New" w:hAnsi="Courier New"/>
          <w:b/>
          <w:bCs/>
          <w:color w:val="1B2A4A"/>
          <w:sz w:val="18"/>
          <w:szCs w:val="18"/>
        </w:rPr>
        <w:t xml:space="preserve">§8.8  </w:t>
      </w:r>
      <w:r>
        <w:rPr>
          <w:rFonts w:ascii="Garamond" w:cs="Garamond" w:eastAsia="Garamond" w:hAnsi="Garamond"/>
          <w:b/>
          <w:bCs/>
          <w:color w:val="1B2A4A"/>
          <w:sz w:val="22"/>
          <w:szCs w:val="22"/>
        </w:rPr>
        <w:t xml:space="preserve">EI Annual Military Assessment</w:t>
      </w:r>
    </w:p>
    <w:p>
      <w:pPr>
        <w:spacing w:after="120" w:before="0"/>
        <w:ind w:left="431"/>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NRS Access</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NRS Technical Standards</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NRS Integrity Audit</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Third-Party NRS Mirrors</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Classification Exemption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BNF Funding Reserve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BNF Non-Discrimination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BNF Administration</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Revenue Contraction Protocol</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BNF and Emergency Declarations</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Deficit Threshold</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National Endowment</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Campaign Financing Enforcement</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Personal Financial Disclosure</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Conflict of Interest Recusal</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Post-Service Restrictions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Gift and Hospitality Rules</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Revolving Door Restriction</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Ethics Enforcement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National Endowment Activation</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Veterans Obligations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Citizen Legislative Initiative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Emergency Defense Allocation Renewal</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Oversight of Allocation</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Post-Allocation Accountability</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Effect of Mandatory Devolution — Senate Seats</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Amendment Takes Effect</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No Secession by Ordinary Legislation</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Amendment Consistency Requirement</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LI Consistency Review</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SC Consistency Adjudication</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Retroactive Effect of Amendments</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Simultaneous Amendments</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Withdrawn Amendments</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Independence Transition Obligations</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Electoral Commission members may be removed for cause only. No no-cause removal is available for EC members. For-cause removal requires: a JI-documented finding transmitted to a State Designee Panel under §8.9.f; a Panel determination that stated grounds are substantiated; a 14-day SC appeal window from publication of the Panel finding; and a 2/3 vote of both chambers simultaneously. Where the Panel finding is substantiated, the EC member is suspended from all duties pending the legislative vote and any SC review. On legislative acquittal following a substantiated Panel finding, the member returns to full duties immediately. Any removal vote scheduled within 180 days of a major national election is automatically suspended pending SC review within 48 hours; the proximity restriction applies to the removal vote, not to Panel-triggered suspension of duties.</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National Trust Administrator is a statutory independent officer under §3.7.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Campaign Conduct Standards</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Electoral Finance — Not Protected Speech</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The constitution is implemented through a 24-month, four-phase transition process. Phase 0 (pre-ratification preparation) is governed by §19.3.a. Phase 1 (emergency stabilization, Days 1–90) is governed by §19.3.b. Phase 2 (institutional construction, Days 91–270) is governed by §19.3.c. Phase 3 (first elections, Days 271–450) is governed by §19.3.d. Phase 4 (full constitutional operation) is governed by §19.3.e.</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account for what was done in the name of that predecessor state.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2026-05-18T04:12:55.453Z</dcterms:created>
  <dcterms:modified xsi:type="dcterms:W3CDTF">2026-05-18T04:12:55.453Z</dcterms:modified>
</cp:coreProperties>
</file>

<file path=docProps/custom.xml><?xml version="1.0" encoding="utf-8"?>
<Properties xmlns="http://schemas.openxmlformats.org/officeDocument/2006/custom-properties" xmlns:vt="http://schemas.openxmlformats.org/officeDocument/2006/docPropsVTypes"/>
</file>