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must originate with the Civic Consul and pass the Assembly;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and on trade agreement provisions creating direct domestic fiscal obligations; the Civic Consul’s response is advisory and does not constitute a concurrence requirement.</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Elections Panel administers a public dissolution referendum; a simple majority decides. If the Assembly elects a Civic Consul before the dissolution vote is certified, the referendum concludes without effect. Where the dissolution vote passes, a new Assembly general election follows; the Acting mechanism continues until the new Assembly elects a Civic Consul.</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The Assembly may override a solvency objection by simple majority.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i w:val="false"/>
          <w:iCs w:val="false"/>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520"/>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1B2A4A"/>
          <w:sz w:val="18"/>
          <w:szCs w:val="18"/>
        </w:rPr>
        <w:t xml:space="preserve">§2.14.b  </w:t>
      </w:r>
      <w:r>
        <w:rPr>
          <w:rFonts w:ascii="Garamond" w:cs="Garamond" w:eastAsia="Garamond" w:hAnsi="Garamond"/>
          <w:b/>
          <w:bCs/>
          <w:i w:val="false"/>
          <w:iCs w:val="false"/>
          <w:color w:val="1B2A4A"/>
          <w:sz w:val="22"/>
          <w:szCs w:val="22"/>
        </w:rPr>
        <w:t xml:space="preserve">Coordination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domains but their actions are materially incompatible, either may declare a coordination failure by NRS notice. The Legislature may resolve the deadlock by concurrent resolution. Where the Legislature does not act within 30 days, the Legat Consul retains full authority within the Legat domain and the Civic Consul’s executive authority governs the cross-domain interaction pending resolution; this applies to how the domains interact, not to the substance of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and compact agreement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80" w:before="200"/>
        <w:ind w:left="431"/>
      </w:pPr>
      <w:r>
        <w:rPr>
          <w:rFonts w:ascii="Courier New" w:cs="Courier New" w:eastAsia="Courier New" w:hAnsi="Courier New"/>
          <w:b/>
          <w:bCs/>
          <w:color w:val="1B2A4A"/>
          <w:sz w:val="18"/>
          <w:szCs w:val="18"/>
        </w:rPr>
        <w:t xml:space="preserve">§3.15  </w:t>
      </w:r>
      <w:r>
        <w:rPr>
          <w:rFonts w:ascii="Garamond" w:cs="Garamond" w:eastAsia="Garamond" w:hAnsi="Garamond"/>
          <w:b/>
          <w:bCs/>
          <w:i w:val="false"/>
          <w:iCs w:val="false"/>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by statute delegate defined authorities within its legislative competence to the Legat Consul, the Civic Consul, or established agencies. Any delegation must specify the exact scope of authority delegated, the conditions on its exercise, and a maximum duration.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and publishes findings to the NRS annually.</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basic legal qualifications defined by statute may apply to the Elections Panel; the Elections Panel enters qualifying applicants into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1B2A4A"/>
          <w:sz w:val="18"/>
          <w:szCs w:val="18"/>
        </w:rPr>
        <w:t xml:space="preserve">§7.3.a  </w:t>
      </w:r>
      <w:r>
        <w:rPr>
          <w:rFonts w:ascii="Garamond" w:cs="Garamond" w:eastAsia="Garamond" w:hAnsi="Garamond"/>
          <w:b/>
          <w:bCs/>
          <w:i w:val="false"/>
          <w:iCs w:val="false"/>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520"/>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Judicial Pool — SC Eligibility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Judicial Pool.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§9.9  </w:t>
      </w:r>
      <w:r>
        <w:rPr>
          <w:rFonts w:ascii="Garamond" w:cs="Garamond" w:eastAsia="Garamond" w:hAnsi="Garamond"/>
          <w:b/>
          <w:bCs/>
          <w:i w:val="false"/>
          <w:iCs w:val="false"/>
          <w:color w:val="1B2A4A"/>
          <w:sz w:val="22"/>
          <w:szCs w:val="22"/>
        </w:rPr>
        <w:t xml:space="preserve">Monitor Removal Obstruction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constitutional actor may obstruct or delay a Monitor’s access to records, personnel, or systems within that Monitor’s audit mandate. Obstruction of a Monitor in the performance of its mandate is a constitutional breach, published to the NRS by the remaining two Monitors.</w:t>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under §4.3.b and elected executives.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Where the SC fails to rule within 14 days, grounds are deemed confirmed and duty suspension activates immediately. The Legislature defines enumerated removal categories for each constitutionally confirmed office by statute.</w:t>
      </w:r>
    </w:p>
    <w:p>
      <w:pPr>
        <w:spacing w:after="60" w:before="200"/>
        <w:ind w:left="431"/>
        <w:jc w:val="left"/>
      </w:pPr>
      <w:r>
        <w:rPr>
          <w:rFonts w:ascii="Courier New" w:cs="Courier New" w:eastAsia="Courier New" w:hAnsi="Courier New"/>
          <w:b/>
          <w:bCs/>
          <w:color w:val="1B2A4A"/>
          <w:sz w:val="18"/>
          <w:szCs w:val="18"/>
        </w:rPr>
        <w:t xml:space="preserve">§9.14.a  </w:t>
      </w:r>
      <w:r>
        <w:rPr>
          <w:rFonts w:ascii="Garamond" w:cs="Garamond" w:eastAsia="Garamond" w:hAnsi="Garamond"/>
          <w:b/>
          <w:bCs/>
          <w:color w:val="1B2A4A"/>
          <w:sz w:val="22"/>
          <w:szCs w:val="22"/>
        </w:rPr>
        <w:t xml:space="preserve">Constitutional Officer Removal — Judicial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Track is available where the Standard Track’s legislative threshold appears unreachable due to demonstrated political gridlock. Where two of the three Monitors jointly assess and report for-cause grounds and petition the SC, the SC determines within 30 days whether the grounds constitute sufficient cause for suspension; where the SC fails to rule within 30 days, cause is deemed found. If cause is found or deemed found, the officer is suspended and the most senior deputy acts in the interim. The Senate has 60 days to hold a removal vote; 3/5 of full seated membership is required for permanent removal. A vote failing 3/5 reinstates the officer and closes the process. Where the Senate fails to vote within 60 days, the matter is placed before the next federal electoral period ballot; removal requires 60% of votes cast. Officers of independent agencies established under §3.9 are not subject to this framework; their removal is governed by the establishing statute, which must preserve the for-cause removal principle.</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while the SC reviews the restriction; the SC must rule within 14 days; the record is permanently restored unless the SC confirms the restriction on the narrowest possible grounds.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Territories, and Associated Communities.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(§9.14.a). The Legislature may not set a higher or lower threshold for any direct electoral supermajority determination without a constitutional amendment. This provision does not govern the optional referendum under §13.1 or the citizen legislative initiative under §13.2, which state their own thresholds;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1B2A4A"/>
          <w:sz w:val="18"/>
          <w:szCs w:val="18"/>
        </w:rPr>
        <w:t xml:space="preserve">§15.8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where the SC fails to rule within 7 days, the Writ is granted and the alleged violation is treated as confirmed pending full SC review.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on expedited review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affirmative support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must rule within 90 days of suspension, and where the SC fails to rule within that period, the suspension lifts and the compact resumes pending any subsequent ruling.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