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r>
        <w:rPr>
          <w:b/>
        </w:rPr>
        <w:t xml:space="preserve">2.2.h Administrative Acting Officer Framework: </w:t>
      </w:r>
      <w: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of absolute majority applies throughout this Constitution wherever the term appears.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at minimum: (1) a shortened PM-selection period for the resulting House; (2) a Senate-nominated Caretaker PM authority with full (not maintenance-only) PM powers for a defined period; (3) a Senate selection mechanism for such a Caretaker PM from candidates who have never held partisan elected office; and (4) a fresh-general-election backstop when the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 In the absence of a statute under this section at the time a second consecutive dissolution occurs, the Senate may by 2/3 vote of its full seated membership appoint a Caretaker PM with full PM authority. The Caretaker PM appointed under this backstop serves until the reconstituted House seats a PM through the ordinary confidence process. This Senate backstop operates only where no statute has been enacted — its first activation constitutes a Notice of Legislative Inaction under §3.3.a requiring the Legislature to enact the statute within the next full session.</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 </w:t>
      </w:r>
      <w:r/>
    </w:p>
    <w:p>
      <w:r>
        <w:rPr>
          <w:b/>
        </w:rPr>
        <w:t xml:space="preserve">Candidate Disclosure and EI Review: 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 </w:t>
      </w:r>
      <w:r/>
    </w:p>
    <w:p>
      <w:r>
        <w:rPr>
          <w:b/>
        </w:rPr>
        <w:t xml:space="preserve">PM Failure — Supreme Court Nomination: 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 </w:t>
      </w:r>
      <w:r/>
    </w:p>
    <w:p>
      <w:r>
        <w:rPr>
          <w:b/>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t>
      </w:r>
      <w:r/>
    </w:p>
    <w:p>
      <w:r>
        <w:rPr>
          <w:b/>
        </w:rPr>
        <w:t xml:space="preserve">Prorated Confirmation Period: </w:t>
      </w:r>
      <w: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4.4.e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4.4.f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r>
        <w:rPr>
          <w:b/>
        </w:rPr>
        <w:t xml:space="preserve">5.1.g Accelerated Naturalization — Long-Term Pre-Ratification Residents: </w:t>
      </w:r>
      <w: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w:t>
      </w:r>
      <w:r>
        <w:rPr>
          <w:rFonts w:ascii="Arial" w:cs="Arial" w:eastAsia="Arial" w:hAnsi="Arial"/>
          <w:color w:val="000000"/>
          <w:sz w:val="22"/>
          <w:szCs w:val="22"/>
        </w:rPr>
      </w:r>
    </w:p>
    <w:p>
      <w:r>
        <w:rPr>
          <w:b/>
        </w:rPr>
        <w:t xml:space="preserve">Eligibility Criteria: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w:t>
      </w:r>
      <w:r/>
    </w:p>
    <w:p>
      <w:r>
        <w:rPr>
          <w:b/>
        </w:rPr>
        <w:t xml:space="preserve">EI Disclosure Review: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w:t>
      </w:r>
      <w:r/>
    </w:p>
    <w:p>
      <w:r>
        <w:rPr>
          <w:b/>
        </w:rPr>
        <w:t xml:space="preserve">Confirmation and Term: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w:t>
      </w:r>
      <w:r/>
    </w:p>
    <w:p>
      <w:r>
        <w:rPr>
          <w:b/>
        </w:rPr>
        <w:t xml:space="preserve">Removal: Removal of a permanently confirmed CLT Administrator requires a 2/3 vote of both chambers simultaneously and a documented finding of dereliction by the Executive Inspectorate published to the National Record System before the legislative vote may proceed. </w:t>
      </w:r>
      <w:r/>
    </w:p>
    <w:p>
      <w:r>
        <w:rPr>
          <w:b/>
        </w:rPr>
        <w:t xml:space="preserve">Mid-Term Vacancy: </w:t>
      </w:r>
      <w: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r>
        <w:rPr>
          <w:b/>
        </w:rPr>
        <w:t>Severe Contraction Protocol (§10.1.d–§10.1.g)</w:t>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The Monetary Authority is governed by a Director and a board of five members. The Director is elected by national Ranked Choice Voting on National Election Day to a single non-renewable 7-year term, staggered from the board member appointment cycle. </w:t>
      </w:r>
      <w:r/>
    </w:p>
    <w:p>
      <w:r>
        <w:t xml:space="preserve">MA Director Ballot Access — Narrow Disqualifiers: 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 </w:t>
      </w:r>
    </w:p>
    <w:p>
      <w:r>
        <w:t xml:space="preserve">MA Director Candidate Register and Disclosure: 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 </w:t>
      </w:r>
    </w:p>
    <w:p>
      <w:r>
        <w:t xml:space="preserve">MA Director Advisory Assessment: 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 </w:t>
      </w:r>
    </w:p>
    <w:p>
      <w:r>
        <w:t xml:space="preserve">MA Board Member Eligibility: 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 </w:t>
      </w:r>
    </w:p>
    <w:p>
      <w:r>
        <w:rPr>
          <w:b/>
        </w:rPr>
        <w:t xml:space="preserve">Board Appointment and Confirmation: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 </w:t>
      </w:r>
      <w:r/>
    </w:p>
    <w:p>
      <w:r>
        <w:rPr>
          <w:b/>
        </w:rPr>
        <w:t xml:space="preserve">Removal Protection: 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 </w:t>
      </w:r>
      <w:r/>
    </w:p>
    <w:p>
      <w:r>
        <w:rPr>
          <w:b/>
        </w:rPr>
        <w:t xml:space="preserve">Director Mid-Term Vacancy: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w:t>
      </w:r>
      <w:r/>
    </w:p>
    <w:p>
      <w:r>
        <w:rPr>
          <w:b/>
        </w:rPr>
        <w:t xml:space="preserve">Board Member Mid-Term Vacancy: </w:t>
      </w:r>
      <w:r>
        <w:t xml:space="preserve">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w:t>
      </w:r>
      <w:r>
        <w:rPr>
          <w:rFonts w:ascii="Arial" w:cs="Arial" w:eastAsia="Arial" w:hAnsi="Arial"/>
          <w:color w:val="000000"/>
          <w:sz w:val="22"/>
          <w:szCs w:val="22"/>
        </w:rPr>
      </w:r>
    </w:p>
    <w:p>
      <w:r>
        <w:rPr>
          <w:b/>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w:t>
      </w:r>
      <w:r/>
    </w:p>
    <w:p>
      <w:r>
        <w:rPr>
          <w:b/>
        </w:rPr>
        <w:t xml:space="preserve">Governance Contribution Standard: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w:t>
      </w:r>
      <w:r/>
    </w:p>
    <w:p>
      <w:r>
        <w:rPr>
          <w:b/>
        </w:rPr>
        <w:t xml:space="preserve">Certification Requirements: Provisional status certification requires a joint assessment by all three Inspectorates; no single Inspectorate's finding is sufficient to grant or deny provisional status. </w:t>
      </w:r>
      <w:r/>
    </w:p>
    <w:p>
      <w:r>
        <w:rPr>
          <w:b/>
        </w:rPr>
        <w:t xml:space="preserve">Prior Provisional Status — Renewal Conditions: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w:t>
      </w:r>
      <w:r/>
    </w:p>
    <w:p>
      <w:r>
        <w:rPr>
          <w:b/>
        </w:rPr>
        <w:t xml:space="preserve">Maximum Provisional Period and Default Mechanism: </w:t>
      </w:r>
      <w: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r>
        <w:rPr>
          <w:b/>
        </w:rPr>
        <w:t xml:space="preserve">14.6 Indigenous Nation Status Elections: </w:t>
      </w:r>
      <w:r>
        <w:t>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br/>
        <w:t>Four status options are available:</w:t>
        <w:br/>
        <w:t>(a)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br/>
        <w:t>(b)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br/>
        <w:t>(c)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br/>
        <w:t>(d)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br/>
        <w:t>Process: 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 within three years of Phase 4 activation. Failure to enact within this period constitutes a Rule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Rule Violation continues until the Legislature acts.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r>
        <w:rPr>
          <w:b/>
        </w:rPr>
        <w:t xml:space="preserve">19.3.f Provisional NRS and Node Authority During Transition: </w:t>
      </w:r>
      <w: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19.9.a Establishment and Purpose: 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