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presidential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four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presidential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No person may serve more than 8 consecutive years as Civic Consul, and no more than 12 years in total across all periods of service. Both limits operate simultaneously; the stricter governs at any given moment.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PM’s designated Caretaker Civic Consul serves with authority limited to maintaining existing policy and emergency functions; Caretaker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presidential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the moment of joint certification published to the NRS.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presidential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presidential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presidential executive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Legat Consul's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(LI), Executive (EI), and Judicial (JI)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an IG is certified incapacitated by the other two Monitors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Senate 2/3 supermajority — the Legislature is entirely excluded. The Assembly Speaker and Senate Speaker jointly nominate the EM Monitor General, confirmed by Senate 2/3 supermajority with JM vetting — the executives are excluded, neither Speaker can act alone, and the 2/3 confirmation threshold requires broad Senate consensus for confirmation.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IG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IG authority at the precise moment the incumbent’s term concludes under §3.13. If the confirmation vote fails, the §9.1.d acting mechanism activates and the SC initiates a new nomination from the pool within 60 days. The EM IG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IG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JI-certified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IG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IG assumes all constitutional functions of the compromised Monitor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LM.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EM and LI; the JMC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EM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authorize continued operations for up to 60 days total in two 30-day extensions, each requiring Civic Consul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Consul's domestic affairs office,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