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2516D4" w14:textId="77777777" w:rsidR="00AF3D56" w:rsidRDefault="00000000">
      <w:pPr>
        <w:spacing w:before="1440" w:after="120"/>
        <w:jc w:val="center"/>
      </w:pPr>
      <w:r>
        <w:rPr>
          <w:rFonts w:ascii="Garamond" w:eastAsia="Garamond" w:hAnsi="Garamond" w:cs="Garamond"/>
          <w:color w:val="1B2A4A"/>
          <w:sz w:val="52"/>
          <w:szCs w:val="52"/>
        </w:rPr>
        <w:t>THE FEDERATED REPUBLIC</w:t>
      </w:r>
    </w:p>
    <w:p w14:paraId="13E9BE20" w14:textId="77777777" w:rsidR="00AF3D56" w:rsidRDefault="00000000">
      <w:pPr>
        <w:pBdr>
          <w:bottom w:val="single" w:sz="4" w:space="8" w:color="C9A84C"/>
        </w:pBdr>
        <w:spacing w:after="120"/>
        <w:jc w:val="center"/>
      </w:pPr>
      <w:r>
        <w:rPr>
          <w:rFonts w:ascii="Garamond" w:eastAsia="Garamond" w:hAnsi="Garamond" w:cs="Garamond"/>
          <w:color w:val="C9A84C"/>
          <w:sz w:val="36"/>
          <w:szCs w:val="36"/>
        </w:rPr>
        <w:t>CONSTITUTION</w:t>
      </w:r>
    </w:p>
    <w:p w14:paraId="092F95E3" w14:textId="30E152CC" w:rsidR="00AF3D56" w:rsidRDefault="00000000">
      <w:pPr>
        <w:spacing w:before="240"/>
        <w:jc w:val="center"/>
      </w:pPr>
      <w:r>
        <w:rPr>
          <w:rFonts w:ascii="Garamond" w:eastAsia="Garamond" w:hAnsi="Garamond" w:cs="Garamond"/>
          <w:i/>
          <w:iCs/>
          <w:color w:val="7A7060"/>
          <w:sz w:val="22"/>
          <w:szCs w:val="22"/>
        </w:rPr>
        <w:t>16</w:t>
      </w:r>
      <w:r w:rsidR="00AD76A6">
        <w:rPr>
          <w:rFonts w:ascii="Garamond" w:eastAsia="Garamond" w:hAnsi="Garamond" w:cs="Garamond"/>
          <w:i/>
          <w:iCs/>
          <w:color w:val="7A7060"/>
          <w:sz w:val="22"/>
          <w:szCs w:val="22"/>
        </w:rPr>
        <w:t>2</w:t>
      </w:r>
      <w:r>
        <w:rPr>
          <w:rFonts w:ascii="Garamond" w:eastAsia="Garamond" w:hAnsi="Garamond" w:cs="Garamond"/>
          <w:i/>
          <w:iCs/>
          <w:color w:val="7A7060"/>
          <w:sz w:val="22"/>
          <w:szCs w:val="22"/>
        </w:rPr>
        <w:t xml:space="preserve"> Provisions · 20 Articles</w:t>
      </w:r>
    </w:p>
    <w:p w14:paraId="0195EB27" w14:textId="77777777" w:rsidR="00AF3D56" w:rsidRDefault="00000000">
      <w:pPr>
        <w:spacing w:before="60"/>
        <w:jc w:val="center"/>
      </w:pPr>
      <w:r>
        <w:rPr>
          <w:rFonts w:ascii="Garamond" w:eastAsia="Garamond" w:hAnsi="Garamond" w:cs="Garamond"/>
          <w:color w:val="7A7060"/>
          <w:sz w:val="18"/>
          <w:szCs w:val="18"/>
        </w:rPr>
        <w:t>thefederatedrepublic.org</w:t>
      </w:r>
    </w:p>
    <w:p w14:paraId="6F6AE7CB"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 — Individual Sovereignty and Rights</w:t>
      </w:r>
    </w:p>
    <w:p w14:paraId="734B5287" w14:textId="77777777" w:rsidR="00AF3D56" w:rsidRDefault="00000000">
      <w:pPr>
        <w:spacing w:before="200" w:after="60"/>
        <w:ind w:left="431"/>
      </w:pPr>
      <w:r>
        <w:rPr>
          <w:rFonts w:ascii="Courier New" w:eastAsia="Courier New" w:hAnsi="Courier New" w:cs="Courier New"/>
          <w:b/>
          <w:bCs/>
          <w:color w:val="2A2A2A"/>
          <w:sz w:val="18"/>
          <w:szCs w:val="18"/>
        </w:rPr>
        <w:t xml:space="preserve">§1.1  </w:t>
      </w:r>
      <w:r>
        <w:rPr>
          <w:rFonts w:ascii="Garamond" w:eastAsia="Garamond" w:hAnsi="Garamond" w:cs="Garamond"/>
          <w:i/>
          <w:iCs/>
          <w:color w:val="1B2A4A"/>
          <w:sz w:val="22"/>
          <w:szCs w:val="22"/>
        </w:rPr>
        <w:t>Right to Courts and Legal Remedy</w:t>
      </w:r>
    </w:p>
    <w:p w14:paraId="2BA9ED1F" w14:textId="77777777" w:rsidR="00AF3D56" w:rsidRDefault="00000000">
      <w:pPr>
        <w:spacing w:after="120"/>
        <w:ind w:left="431"/>
        <w:jc w:val="both"/>
      </w:pPr>
      <w:r>
        <w:rPr>
          <w:rFonts w:ascii="Garamond" w:eastAsia="Garamond" w:hAnsi="Garamond" w:cs="Garamond"/>
          <w:color w:val="2A2A2A"/>
          <w:sz w:val="22"/>
          <w:szCs w:val="22"/>
        </w:rPr>
        <w:t>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14:paraId="30FA7D47" w14:textId="77777777" w:rsidR="00AF3D56" w:rsidRDefault="00000000">
      <w:pPr>
        <w:spacing w:before="200" w:after="60"/>
        <w:ind w:left="431"/>
      </w:pPr>
      <w:r>
        <w:rPr>
          <w:rFonts w:ascii="Courier New" w:eastAsia="Courier New" w:hAnsi="Courier New" w:cs="Courier New"/>
          <w:b/>
          <w:bCs/>
          <w:color w:val="2A2A2A"/>
          <w:sz w:val="18"/>
          <w:szCs w:val="18"/>
        </w:rPr>
        <w:t xml:space="preserve">§1.2  </w:t>
      </w:r>
      <w:r>
        <w:rPr>
          <w:rFonts w:ascii="Garamond" w:eastAsia="Garamond" w:hAnsi="Garamond" w:cs="Garamond"/>
          <w:i/>
          <w:iCs/>
          <w:color w:val="1B2A4A"/>
          <w:sz w:val="22"/>
          <w:szCs w:val="22"/>
        </w:rPr>
        <w:t>Individual Sovereignty Floor</w:t>
      </w:r>
    </w:p>
    <w:p w14:paraId="14A4DD6B" w14:textId="77777777" w:rsidR="00AF3D56" w:rsidRDefault="00000000">
      <w:pPr>
        <w:spacing w:after="120"/>
        <w:ind w:left="431"/>
        <w:jc w:val="both"/>
      </w:pPr>
      <w:r>
        <w:rPr>
          <w:rFonts w:ascii="Garamond" w:eastAsia="Garamond" w:hAnsi="Garamond" w:cs="Garamond"/>
          <w:color w:val="2A2A2A"/>
          <w:sz w:val="22"/>
          <w:szCs w:val="22"/>
        </w:rPr>
        <w:t>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14:paraId="13CF166F" w14:textId="77777777" w:rsidR="00AF3D56" w:rsidRDefault="00000000">
      <w:pPr>
        <w:spacing w:before="200" w:after="60"/>
        <w:ind w:left="431"/>
      </w:pPr>
      <w:r>
        <w:rPr>
          <w:rFonts w:ascii="Courier New" w:eastAsia="Courier New" w:hAnsi="Courier New" w:cs="Courier New"/>
          <w:b/>
          <w:bCs/>
          <w:color w:val="2A2A2A"/>
          <w:sz w:val="18"/>
          <w:szCs w:val="18"/>
        </w:rPr>
        <w:t xml:space="preserve">§1.3  </w:t>
      </w:r>
      <w:r>
        <w:rPr>
          <w:rFonts w:ascii="Garamond" w:eastAsia="Garamond" w:hAnsi="Garamond" w:cs="Garamond"/>
          <w:i/>
          <w:iCs/>
          <w:color w:val="1B2A4A"/>
          <w:sz w:val="22"/>
          <w:szCs w:val="22"/>
        </w:rPr>
        <w:t>Prohibition of Torture and Cruel Treatment</w:t>
      </w:r>
    </w:p>
    <w:p w14:paraId="0A9C5B85" w14:textId="77777777" w:rsidR="00AF3D56" w:rsidRDefault="00000000">
      <w:pPr>
        <w:spacing w:after="120"/>
        <w:ind w:left="431"/>
        <w:jc w:val="both"/>
      </w:pPr>
      <w:r>
        <w:rPr>
          <w:rFonts w:ascii="Garamond" w:eastAsia="Garamond" w:hAnsi="Garamond" w:cs="Garamond"/>
          <w:color w:val="2A2A2A"/>
          <w:sz w:val="22"/>
          <w:szCs w:val="22"/>
        </w:rPr>
        <w:t>Torture and cruel, inhuman, or degrading treatment are absolutely prohibited. No person within the Republic's jurisdiction may be subjected to any such treatment. This right is non-derogable under §1.19.b.</w:t>
      </w:r>
    </w:p>
    <w:p w14:paraId="2B6FC3D3" w14:textId="77777777" w:rsidR="00AF3D56" w:rsidRDefault="00000000">
      <w:pPr>
        <w:spacing w:before="200" w:after="60"/>
        <w:ind w:left="431"/>
      </w:pPr>
      <w:r>
        <w:rPr>
          <w:rFonts w:ascii="Courier New" w:eastAsia="Courier New" w:hAnsi="Courier New" w:cs="Courier New"/>
          <w:b/>
          <w:bCs/>
          <w:color w:val="2A2A2A"/>
          <w:sz w:val="18"/>
          <w:szCs w:val="18"/>
        </w:rPr>
        <w:t xml:space="preserve">§1.4  </w:t>
      </w:r>
      <w:r>
        <w:rPr>
          <w:rFonts w:ascii="Garamond" w:eastAsia="Garamond" w:hAnsi="Garamond" w:cs="Garamond"/>
          <w:i/>
          <w:iCs/>
          <w:color w:val="1B2A4A"/>
          <w:sz w:val="22"/>
          <w:szCs w:val="22"/>
        </w:rPr>
        <w:t>Prohibition of Slavery and Forced Labor</w:t>
      </w:r>
    </w:p>
    <w:p w14:paraId="79B84C91" w14:textId="77777777" w:rsidR="00AF3D56" w:rsidRDefault="00000000">
      <w:pPr>
        <w:spacing w:after="120"/>
        <w:ind w:left="431"/>
        <w:jc w:val="both"/>
      </w:pPr>
      <w:r>
        <w:rPr>
          <w:rFonts w:ascii="Garamond" w:eastAsia="Garamond" w:hAnsi="Garamond" w:cs="Garamond"/>
          <w:color w:val="2A2A2A"/>
          <w:sz w:val="22"/>
          <w:szCs w:val="22"/>
        </w:rPr>
        <w:t>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§1.19.b.</w:t>
      </w:r>
    </w:p>
    <w:p w14:paraId="2E5E4B7E" w14:textId="77777777" w:rsidR="00AF3D56" w:rsidRDefault="00000000">
      <w:pPr>
        <w:spacing w:before="200" w:after="60"/>
        <w:ind w:left="431"/>
      </w:pPr>
      <w:r>
        <w:rPr>
          <w:rFonts w:ascii="Courier New" w:eastAsia="Courier New" w:hAnsi="Courier New" w:cs="Courier New"/>
          <w:b/>
          <w:bCs/>
          <w:color w:val="2A2A2A"/>
          <w:sz w:val="18"/>
          <w:szCs w:val="18"/>
        </w:rPr>
        <w:t xml:space="preserve">§1.5  </w:t>
      </w:r>
      <w:r>
        <w:rPr>
          <w:rFonts w:ascii="Garamond" w:eastAsia="Garamond" w:hAnsi="Garamond" w:cs="Garamond"/>
          <w:i/>
          <w:iCs/>
          <w:color w:val="1B2A4A"/>
          <w:sz w:val="22"/>
          <w:szCs w:val="22"/>
        </w:rPr>
        <w:t>Civil and Political Liberties</w:t>
      </w:r>
    </w:p>
    <w:p w14:paraId="7282DB24" w14:textId="77777777" w:rsidR="00AF3D56" w:rsidRDefault="00000000">
      <w:pPr>
        <w:spacing w:after="120"/>
        <w:ind w:left="431"/>
        <w:jc w:val="both"/>
      </w:pPr>
      <w:r>
        <w:rPr>
          <w:rFonts w:ascii="Garamond" w:eastAsia="Garamond" w:hAnsi="Garamond" w:cs="Garamond"/>
          <w:color w:val="2A2A2A"/>
          <w:sz w:val="22"/>
          <w:szCs w:val="22"/>
        </w:rPr>
        <w:t>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14:paraId="211DE107" w14:textId="77777777" w:rsidR="00AF3D56" w:rsidRDefault="00000000">
      <w:pPr>
        <w:spacing w:before="200" w:after="60"/>
        <w:ind w:left="431"/>
      </w:pPr>
      <w:r>
        <w:rPr>
          <w:rFonts w:ascii="Courier New" w:eastAsia="Courier New" w:hAnsi="Courier New" w:cs="Courier New"/>
          <w:b/>
          <w:bCs/>
          <w:color w:val="2A2A2A"/>
          <w:sz w:val="18"/>
          <w:szCs w:val="18"/>
        </w:rPr>
        <w:t xml:space="preserve">§1.6  </w:t>
      </w:r>
      <w:r>
        <w:rPr>
          <w:rFonts w:ascii="Garamond" w:eastAsia="Garamond" w:hAnsi="Garamond" w:cs="Garamond"/>
          <w:i/>
          <w:iCs/>
          <w:color w:val="1B2A4A"/>
          <w:sz w:val="22"/>
          <w:szCs w:val="22"/>
        </w:rPr>
        <w:t>Equality and Non-Discrimination</w:t>
      </w:r>
    </w:p>
    <w:p w14:paraId="124E8111" w14:textId="77777777" w:rsidR="00AF3D56" w:rsidRDefault="00000000">
      <w:pPr>
        <w:spacing w:after="120"/>
        <w:ind w:left="431"/>
        <w:jc w:val="both"/>
      </w:pPr>
      <w:r>
        <w:rPr>
          <w:rFonts w:ascii="Garamond" w:eastAsia="Garamond" w:hAnsi="Garamond" w:cs="Garamond"/>
          <w:color w:val="2A2A2A"/>
          <w:sz w:val="22"/>
          <w:szCs w:val="22"/>
        </w:rPr>
        <w:t>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14:paraId="68BA3381" w14:textId="77777777" w:rsidR="00AF3D56" w:rsidRDefault="00000000">
      <w:pPr>
        <w:spacing w:before="200" w:after="60"/>
        <w:ind w:left="431"/>
      </w:pPr>
      <w:r>
        <w:rPr>
          <w:rFonts w:ascii="Courier New" w:eastAsia="Courier New" w:hAnsi="Courier New" w:cs="Courier New"/>
          <w:b/>
          <w:bCs/>
          <w:color w:val="2A2A2A"/>
          <w:sz w:val="18"/>
          <w:szCs w:val="18"/>
        </w:rPr>
        <w:t xml:space="preserve">§1.7  </w:t>
      </w:r>
      <w:r>
        <w:rPr>
          <w:rFonts w:ascii="Garamond" w:eastAsia="Garamond" w:hAnsi="Garamond" w:cs="Garamond"/>
          <w:i/>
          <w:iCs/>
          <w:color w:val="1B2A4A"/>
          <w:sz w:val="22"/>
          <w:szCs w:val="22"/>
        </w:rPr>
        <w:t>Bodily Sovereignty and Privacy</w:t>
      </w:r>
    </w:p>
    <w:p w14:paraId="4A56BCE5" w14:textId="77777777" w:rsidR="00AF3D56" w:rsidRDefault="00000000">
      <w:pPr>
        <w:spacing w:after="120"/>
        <w:ind w:left="431"/>
        <w:jc w:val="both"/>
      </w:pPr>
      <w:r>
        <w:rPr>
          <w:rFonts w:ascii="Garamond" w:eastAsia="Garamond" w:hAnsi="Garamond" w:cs="Garamond"/>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w:t>
      </w:r>
      <w:r>
        <w:rPr>
          <w:rFonts w:ascii="Garamond" w:eastAsia="Garamond" w:hAnsi="Garamond" w:cs="Garamond"/>
          <w:color w:val="2A2A2A"/>
          <w:sz w:val="22"/>
          <w:szCs w:val="22"/>
        </w:rPr>
        <w:lastRenderedPageBreak/>
        <w:t>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14:paraId="7C997FA5" w14:textId="77777777" w:rsidR="00AF3D56" w:rsidRDefault="00000000">
      <w:pPr>
        <w:spacing w:before="200" w:after="60"/>
        <w:ind w:left="431"/>
      </w:pPr>
      <w:r>
        <w:rPr>
          <w:rFonts w:ascii="Courier New" w:eastAsia="Courier New" w:hAnsi="Courier New" w:cs="Courier New"/>
          <w:b/>
          <w:bCs/>
          <w:color w:val="2A2A2A"/>
          <w:sz w:val="18"/>
          <w:szCs w:val="18"/>
        </w:rPr>
        <w:t xml:space="preserve">§1.8  </w:t>
      </w:r>
      <w:r>
        <w:rPr>
          <w:rFonts w:ascii="Garamond" w:eastAsia="Garamond" w:hAnsi="Garamond" w:cs="Garamond"/>
          <w:i/>
          <w:iCs/>
          <w:color w:val="1B2A4A"/>
          <w:sz w:val="22"/>
          <w:szCs w:val="22"/>
        </w:rPr>
        <w:t>Property and Security of the Home</w:t>
      </w:r>
    </w:p>
    <w:p w14:paraId="27C2D0B5" w14:textId="77777777" w:rsidR="00AF3D56" w:rsidRDefault="00000000">
      <w:pPr>
        <w:spacing w:after="120"/>
        <w:ind w:left="431"/>
        <w:jc w:val="both"/>
      </w:pPr>
      <w:r>
        <w:rPr>
          <w:rFonts w:ascii="Garamond" w:eastAsia="Garamond" w:hAnsi="Garamond" w:cs="Garamond"/>
          <w:color w:val="2A2A2A"/>
          <w:sz w:val="22"/>
          <w:szCs w:val="22"/>
        </w:rPr>
        <w:t>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14:paraId="77CD7BA7" w14:textId="77777777" w:rsidR="00AF3D56" w:rsidRDefault="00000000">
      <w:pPr>
        <w:spacing w:before="200" w:after="60"/>
        <w:ind w:left="431"/>
      </w:pPr>
      <w:r>
        <w:rPr>
          <w:rFonts w:ascii="Courier New" w:eastAsia="Courier New" w:hAnsi="Courier New" w:cs="Courier New"/>
          <w:b/>
          <w:bCs/>
          <w:color w:val="2A2A2A"/>
          <w:sz w:val="18"/>
          <w:szCs w:val="18"/>
        </w:rPr>
        <w:t xml:space="preserve">§1.9  </w:t>
      </w:r>
      <w:r>
        <w:rPr>
          <w:rFonts w:ascii="Garamond" w:eastAsia="Garamond" w:hAnsi="Garamond" w:cs="Garamond"/>
          <w:i/>
          <w:iCs/>
          <w:color w:val="1B2A4A"/>
          <w:sz w:val="22"/>
          <w:szCs w:val="22"/>
        </w:rPr>
        <w:t>Democratic Participation and Family</w:t>
      </w:r>
    </w:p>
    <w:p w14:paraId="210DB5F3" w14:textId="77777777" w:rsidR="00AF3D56" w:rsidRDefault="00000000">
      <w:pPr>
        <w:spacing w:after="120"/>
        <w:ind w:left="431"/>
        <w:jc w:val="both"/>
      </w:pPr>
      <w:r>
        <w:rPr>
          <w:rFonts w:ascii="Garamond" w:eastAsia="Garamond" w:hAnsi="Garamond" w:cs="Garamond"/>
          <w:color w:val="2A2A2A"/>
          <w:sz w:val="22"/>
          <w:szCs w:val="22"/>
        </w:rPr>
        <w:t>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14:paraId="2609DD8E" w14:textId="77777777" w:rsidR="00AF3D56" w:rsidRDefault="00000000">
      <w:pPr>
        <w:spacing w:before="200" w:after="60"/>
        <w:ind w:left="431"/>
      </w:pPr>
      <w:r>
        <w:rPr>
          <w:rFonts w:ascii="Courier New" w:eastAsia="Courier New" w:hAnsi="Courier New" w:cs="Courier New"/>
          <w:b/>
          <w:bCs/>
          <w:color w:val="2A2A2A"/>
          <w:sz w:val="18"/>
          <w:szCs w:val="18"/>
        </w:rPr>
        <w:t xml:space="preserve">§1.10  </w:t>
      </w:r>
      <w:r>
        <w:rPr>
          <w:rFonts w:ascii="Garamond" w:eastAsia="Garamond" w:hAnsi="Garamond" w:cs="Garamond"/>
          <w:i/>
          <w:iCs/>
          <w:color w:val="1B2A4A"/>
          <w:sz w:val="22"/>
          <w:szCs w:val="22"/>
        </w:rPr>
        <w:t>Right to Bear Arms</w:t>
      </w:r>
    </w:p>
    <w:p w14:paraId="638565DA" w14:textId="77777777" w:rsidR="00AF3D56" w:rsidRDefault="00000000">
      <w:pPr>
        <w:spacing w:after="120"/>
        <w:ind w:left="431"/>
        <w:jc w:val="both"/>
      </w:pPr>
      <w:r>
        <w:rPr>
          <w:rFonts w:ascii="Garamond" w:eastAsia="Garamond" w:hAnsi="Garamond" w:cs="Garamond"/>
          <w:color w:val="2A2A2A"/>
          <w:sz w:val="22"/>
          <w:szCs w:val="22"/>
        </w:rPr>
        <w:t>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14:paraId="0FA15129"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Habeas Corpus</w:t>
      </w:r>
    </w:p>
    <w:p w14:paraId="3AB35A20" w14:textId="77777777" w:rsidR="00AF3D56" w:rsidRDefault="00000000">
      <w:pPr>
        <w:spacing w:after="120"/>
        <w:ind w:left="431"/>
        <w:jc w:val="both"/>
      </w:pPr>
      <w:r>
        <w:rPr>
          <w:rFonts w:ascii="Garamond" w:eastAsia="Garamond" w:hAnsi="Garamond" w:cs="Garamond"/>
          <w:color w:val="2A2A2A"/>
          <w:sz w:val="22"/>
          <w:szCs w:val="22"/>
        </w:rPr>
        <w:t>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§1.19.b.</w:t>
      </w:r>
    </w:p>
    <w:p w14:paraId="0D955B5D"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Rights of the Accused and Fair Trial</w:t>
      </w:r>
    </w:p>
    <w:p w14:paraId="35DEBB2E"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14:paraId="3CBF969F"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Right to a Public Trial</w:t>
      </w:r>
    </w:p>
    <w:p w14:paraId="1D023378"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§1.19.b.</w:t>
      </w:r>
    </w:p>
    <w:p w14:paraId="787D5709" w14:textId="77777777" w:rsidR="00AF3D56" w:rsidRDefault="00000000">
      <w:pPr>
        <w:spacing w:before="200" w:after="60"/>
        <w:ind w:left="431"/>
      </w:pPr>
      <w:r>
        <w:rPr>
          <w:rFonts w:ascii="Courier New" w:eastAsia="Courier New" w:hAnsi="Courier New" w:cs="Courier New"/>
          <w:b/>
          <w:bCs/>
          <w:color w:val="2A2A2A"/>
          <w:sz w:val="18"/>
          <w:szCs w:val="18"/>
        </w:rPr>
        <w:t xml:space="preserve">§1.14  </w:t>
      </w:r>
      <w:r>
        <w:rPr>
          <w:rFonts w:ascii="Garamond" w:eastAsia="Garamond" w:hAnsi="Garamond" w:cs="Garamond"/>
          <w:i/>
          <w:iCs/>
          <w:color w:val="1B2A4A"/>
          <w:sz w:val="22"/>
          <w:szCs w:val="22"/>
        </w:rPr>
        <w:t>Freedom from Retroactive Criminal Law</w:t>
      </w:r>
    </w:p>
    <w:p w14:paraId="7B80E94E" w14:textId="77777777" w:rsidR="00AF3D56" w:rsidRDefault="00000000">
      <w:pPr>
        <w:spacing w:after="120"/>
        <w:ind w:left="431"/>
        <w:jc w:val="both"/>
      </w:pPr>
      <w:r>
        <w:rPr>
          <w:rFonts w:ascii="Garamond" w:eastAsia="Garamond" w:hAnsi="Garamond" w:cs="Garamond"/>
          <w:color w:val="2A2A2A"/>
          <w:sz w:val="22"/>
          <w:szCs w:val="22"/>
        </w:rPr>
        <w:t>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14:paraId="1B834AE7" w14:textId="77777777" w:rsidR="00AF3D56" w:rsidRDefault="00000000">
      <w:pPr>
        <w:spacing w:before="200" w:after="60"/>
        <w:ind w:left="431"/>
      </w:pPr>
      <w:r>
        <w:rPr>
          <w:rFonts w:ascii="Courier New" w:eastAsia="Courier New" w:hAnsi="Courier New" w:cs="Courier New"/>
          <w:b/>
          <w:bCs/>
          <w:color w:val="2A2A2A"/>
          <w:sz w:val="18"/>
          <w:szCs w:val="18"/>
        </w:rPr>
        <w:t xml:space="preserve">§1.15  </w:t>
      </w:r>
      <w:r>
        <w:rPr>
          <w:rFonts w:ascii="Garamond" w:eastAsia="Garamond" w:hAnsi="Garamond" w:cs="Garamond"/>
          <w:i/>
          <w:iCs/>
          <w:color w:val="1B2A4A"/>
          <w:sz w:val="22"/>
          <w:szCs w:val="22"/>
        </w:rPr>
        <w:t>Double Jeopardy</w:t>
      </w:r>
    </w:p>
    <w:p w14:paraId="16DD333F" w14:textId="77777777" w:rsidR="00AF3D56" w:rsidRDefault="00000000">
      <w:pPr>
        <w:spacing w:after="120"/>
        <w:ind w:left="431"/>
        <w:jc w:val="both"/>
      </w:pPr>
      <w:r>
        <w:rPr>
          <w:rFonts w:ascii="Garamond" w:eastAsia="Garamond" w:hAnsi="Garamond" w:cs="Garamond"/>
          <w:color w:val="2A2A2A"/>
          <w:sz w:val="22"/>
          <w:szCs w:val="22"/>
        </w:rPr>
        <w:lastRenderedPageBreak/>
        <w:t>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14:paraId="3F03BB9F" w14:textId="77777777" w:rsidR="00AF3D56" w:rsidRDefault="00000000">
      <w:pPr>
        <w:spacing w:before="200" w:after="60"/>
        <w:ind w:left="431"/>
      </w:pPr>
      <w:r>
        <w:rPr>
          <w:rFonts w:ascii="Courier New" w:eastAsia="Courier New" w:hAnsi="Courier New" w:cs="Courier New"/>
          <w:b/>
          <w:bCs/>
          <w:color w:val="2A2A2A"/>
          <w:sz w:val="18"/>
          <w:szCs w:val="18"/>
        </w:rPr>
        <w:t xml:space="preserve">§1.16  </w:t>
      </w:r>
      <w:r>
        <w:rPr>
          <w:rFonts w:ascii="Garamond" w:eastAsia="Garamond" w:hAnsi="Garamond" w:cs="Garamond"/>
          <w:i/>
          <w:iCs/>
          <w:color w:val="1B2A4A"/>
          <w:sz w:val="22"/>
          <w:szCs w:val="22"/>
        </w:rPr>
        <w:t>Social Assistance Floor</w:t>
      </w:r>
    </w:p>
    <w:p w14:paraId="0D41A466" w14:textId="77777777" w:rsidR="00AF3D56" w:rsidRDefault="00000000">
      <w:pPr>
        <w:spacing w:after="120"/>
        <w:ind w:left="431"/>
        <w:jc w:val="both"/>
      </w:pPr>
      <w:r>
        <w:rPr>
          <w:rFonts w:ascii="Garamond" w:eastAsia="Garamond" w:hAnsi="Garamond" w:cs="Garamond"/>
          <w:color w:val="2A2A2A"/>
          <w:sz w:val="22"/>
          <w:szCs w:val="22"/>
        </w:rPr>
        <w:t>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fulfilment of this right; no reduction in the adequacy standard below the established level is constitutionally valid absent a certified fiscal emergency under §12.2.</w:t>
      </w:r>
    </w:p>
    <w:p w14:paraId="2A4C842B" w14:textId="77777777" w:rsidR="00AF3D56" w:rsidRDefault="00000000">
      <w:pPr>
        <w:spacing w:before="200" w:after="60"/>
        <w:ind w:left="431"/>
      </w:pPr>
      <w:r>
        <w:rPr>
          <w:rFonts w:ascii="Courier New" w:eastAsia="Courier New" w:hAnsi="Courier New" w:cs="Courier New"/>
          <w:b/>
          <w:bCs/>
          <w:color w:val="2A2A2A"/>
          <w:sz w:val="18"/>
          <w:szCs w:val="18"/>
        </w:rPr>
        <w:t xml:space="preserve">§1.17  </w:t>
      </w:r>
      <w:r>
        <w:rPr>
          <w:rFonts w:ascii="Garamond" w:eastAsia="Garamond" w:hAnsi="Garamond" w:cs="Garamond"/>
          <w:i/>
          <w:iCs/>
          <w:color w:val="1B2A4A"/>
          <w:sz w:val="22"/>
          <w:szCs w:val="22"/>
        </w:rPr>
        <w:t>Education</w:t>
      </w:r>
    </w:p>
    <w:p w14:paraId="5477386A" w14:textId="77777777" w:rsidR="00AF3D56" w:rsidRDefault="00000000">
      <w:pPr>
        <w:spacing w:after="120"/>
        <w:ind w:left="431"/>
        <w:jc w:val="both"/>
      </w:pPr>
      <w:r>
        <w:rPr>
          <w:rFonts w:ascii="Garamond" w:eastAsia="Garamond" w:hAnsi="Garamond" w:cs="Garamond"/>
          <w:color w:val="2A2A2A"/>
          <w:sz w:val="22"/>
          <w:szCs w:val="22"/>
        </w:rPr>
        <w:t>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fulfilment of this right; no reduction in the adequacy standard below the established level is constitutionally valid absent a certified fiscal emergency under §12.2.</w:t>
      </w:r>
    </w:p>
    <w:p w14:paraId="7CBC2FB1" w14:textId="77777777" w:rsidR="00AF3D56" w:rsidRDefault="00000000">
      <w:pPr>
        <w:spacing w:before="200" w:after="60"/>
        <w:ind w:left="431"/>
      </w:pPr>
      <w:r>
        <w:rPr>
          <w:rFonts w:ascii="Courier New" w:eastAsia="Courier New" w:hAnsi="Courier New" w:cs="Courier New"/>
          <w:b/>
          <w:bCs/>
          <w:color w:val="2A2A2A"/>
          <w:sz w:val="18"/>
          <w:szCs w:val="18"/>
        </w:rPr>
        <w:t xml:space="preserve">§1.18  </w:t>
      </w:r>
      <w:r>
        <w:rPr>
          <w:rFonts w:ascii="Garamond" w:eastAsia="Garamond" w:hAnsi="Garamond" w:cs="Garamond"/>
          <w:i/>
          <w:iCs/>
          <w:color w:val="1B2A4A"/>
          <w:sz w:val="22"/>
          <w:szCs w:val="22"/>
        </w:rPr>
        <w:t>Environmental Obligations</w:t>
      </w:r>
    </w:p>
    <w:p w14:paraId="5A7E9CCC" w14:textId="77777777" w:rsidR="00AF3D56" w:rsidRDefault="00000000">
      <w:pPr>
        <w:spacing w:after="120"/>
        <w:ind w:left="431"/>
        <w:jc w:val="both"/>
      </w:pPr>
      <w:r>
        <w:rPr>
          <w:rFonts w:ascii="Garamond" w:eastAsia="Garamond" w:hAnsi="Garamond" w:cs="Garamond"/>
          <w:color w:val="2A2A2A"/>
          <w:sz w:val="22"/>
          <w:szCs w:val="22"/>
        </w:rPr>
        <w:t>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14:paraId="465235EB" w14:textId="77777777" w:rsidR="00AF3D56" w:rsidRDefault="00000000">
      <w:pPr>
        <w:spacing w:before="200" w:after="60"/>
        <w:ind w:left="431"/>
      </w:pPr>
      <w:r>
        <w:rPr>
          <w:rFonts w:ascii="Courier New" w:eastAsia="Courier New" w:hAnsi="Courier New" w:cs="Courier New"/>
          <w:b/>
          <w:bCs/>
          <w:color w:val="2A2A2A"/>
          <w:sz w:val="18"/>
          <w:szCs w:val="18"/>
        </w:rPr>
        <w:t xml:space="preserve">§1.19  </w:t>
      </w:r>
      <w:r>
        <w:rPr>
          <w:rFonts w:ascii="Garamond" w:eastAsia="Garamond" w:hAnsi="Garamond" w:cs="Garamond"/>
          <w:i/>
          <w:iCs/>
          <w:color w:val="1B2A4A"/>
          <w:sz w:val="22"/>
          <w:szCs w:val="22"/>
        </w:rPr>
        <w:t>Emergency Derogation</w:t>
      </w:r>
    </w:p>
    <w:p w14:paraId="5AEB6338" w14:textId="77777777" w:rsidR="00AF3D56" w:rsidRDefault="00000000">
      <w:pPr>
        <w:spacing w:after="120"/>
        <w:ind w:left="431"/>
        <w:jc w:val="both"/>
      </w:pPr>
      <w:r>
        <w:rPr>
          <w:rFonts w:ascii="Garamond" w:eastAsia="Garamond" w:hAnsi="Garamond" w:cs="Garamond"/>
          <w:color w:val="2A2A2A"/>
          <w:sz w:val="22"/>
          <w:szCs w:val="22"/>
        </w:rPr>
        <w:t>No emergency — however severe — suspends the Individual Sovereignty Floor in full. Temporary derogation of certain rights is permitted only under the strict conditions of this section; the rights enumerated in §1.19.b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w:t>
      </w:r>
    </w:p>
    <w:p w14:paraId="134A35EF" w14:textId="77777777" w:rsidR="00AF3D56" w:rsidRDefault="00000000">
      <w:pPr>
        <w:spacing w:before="200" w:after="60"/>
        <w:ind w:left="431"/>
      </w:pPr>
      <w:r>
        <w:rPr>
          <w:rFonts w:ascii="Courier New" w:eastAsia="Courier New" w:hAnsi="Courier New" w:cs="Courier New"/>
          <w:b/>
          <w:bCs/>
          <w:color w:val="2A2A2A"/>
          <w:sz w:val="18"/>
          <w:szCs w:val="18"/>
        </w:rPr>
        <w:t xml:space="preserve">§1.19.b  </w:t>
      </w:r>
      <w:r>
        <w:rPr>
          <w:rFonts w:ascii="Garamond" w:eastAsia="Garamond" w:hAnsi="Garamond" w:cs="Garamond"/>
          <w:i/>
          <w:iCs/>
          <w:color w:val="1B2A4A"/>
          <w:sz w:val="22"/>
          <w:szCs w:val="22"/>
        </w:rPr>
        <w:t>Non-Derogable Rights</w:t>
      </w:r>
    </w:p>
    <w:p w14:paraId="2103DC74" w14:textId="77777777" w:rsidR="00AF3D56" w:rsidRDefault="00000000">
      <w:pPr>
        <w:spacing w:after="120"/>
        <w:ind w:left="431"/>
        <w:jc w:val="both"/>
      </w:pPr>
      <w:r>
        <w:rPr>
          <w:rFonts w:ascii="Garamond" w:eastAsia="Garamond" w:hAnsi="Garamond" w:cs="Garamond"/>
          <w:color w:val="2A2A2A"/>
          <w:sz w:val="22"/>
          <w:szCs w:val="22"/>
        </w:rPr>
        <w:t>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14:paraId="2C2D24AF" w14:textId="77777777" w:rsidR="00AF3D56" w:rsidRDefault="00000000">
      <w:pPr>
        <w:spacing w:before="200" w:after="60"/>
        <w:ind w:left="431"/>
      </w:pPr>
      <w:r>
        <w:rPr>
          <w:rFonts w:ascii="Courier New" w:eastAsia="Courier New" w:hAnsi="Courier New" w:cs="Courier New"/>
          <w:b/>
          <w:bCs/>
          <w:color w:val="2A2A2A"/>
          <w:sz w:val="18"/>
          <w:szCs w:val="18"/>
        </w:rPr>
        <w:t xml:space="preserve">§1.19.e  </w:t>
      </w:r>
      <w:r>
        <w:rPr>
          <w:rFonts w:ascii="Garamond" w:eastAsia="Garamond" w:hAnsi="Garamond" w:cs="Garamond"/>
          <w:i/>
          <w:iCs/>
          <w:color w:val="1B2A4A"/>
          <w:sz w:val="22"/>
          <w:szCs w:val="22"/>
        </w:rPr>
        <w:t>Emergency Declaration Lifecycle</w:t>
      </w:r>
    </w:p>
    <w:p w14:paraId="5AE51F8B" w14:textId="77777777" w:rsidR="00AF3D56" w:rsidRDefault="00000000">
      <w:pPr>
        <w:spacing w:after="120"/>
        <w:ind w:left="431"/>
        <w:jc w:val="both"/>
      </w:pPr>
      <w:r>
        <w:rPr>
          <w:rFonts w:ascii="Garamond" w:eastAsia="Garamond" w:hAnsi="Garamond" w:cs="Garamond"/>
          <w:color w:val="2A2A2A"/>
          <w:sz w:val="22"/>
          <w:szCs w:val="22"/>
        </w:rPr>
        <w:t xml:space="preserve">Emergency measures lapse automatically at the expiry of the Declaration. The Legislature may, before a Declaration expires, extend it for one additional period not to exceed 60 days by 2/3 of both chambers in a concurrent vote; the extension is published immediately to the NRS and no further extension is available under this provision. Judicial review of any emergency measure is available to any citizen at any time, and </w:t>
      </w:r>
      <w:r>
        <w:rPr>
          <w:rFonts w:ascii="Garamond" w:eastAsia="Garamond" w:hAnsi="Garamond" w:cs="Garamond"/>
          <w:color w:val="2A2A2A"/>
          <w:sz w:val="22"/>
          <w:szCs w:val="22"/>
        </w:rPr>
        <w:lastRenderedPageBreak/>
        <w:t>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14:paraId="22F80CC3" w14:textId="77777777" w:rsidR="00AF3D56" w:rsidRDefault="00000000">
      <w:pPr>
        <w:spacing w:before="200" w:after="60"/>
        <w:ind w:left="431"/>
      </w:pPr>
      <w:r>
        <w:rPr>
          <w:rFonts w:ascii="Courier New" w:eastAsia="Courier New" w:hAnsi="Courier New" w:cs="Courier New"/>
          <w:b/>
          <w:bCs/>
          <w:color w:val="2A2A2A"/>
          <w:sz w:val="18"/>
          <w:szCs w:val="18"/>
        </w:rPr>
        <w:t xml:space="preserve">§1.20  </w:t>
      </w:r>
      <w:r>
        <w:rPr>
          <w:rFonts w:ascii="Garamond" w:eastAsia="Garamond" w:hAnsi="Garamond" w:cs="Garamond"/>
          <w:i/>
          <w:iCs/>
          <w:color w:val="1B2A4A"/>
          <w:sz w:val="22"/>
          <w:szCs w:val="22"/>
        </w:rPr>
        <w:t>Right to Seek Asylum</w:t>
      </w:r>
    </w:p>
    <w:p w14:paraId="210E5295" w14:textId="77777777" w:rsidR="00AF3D56" w:rsidRDefault="00000000">
      <w:pPr>
        <w:spacing w:after="120"/>
        <w:ind w:left="431"/>
        <w:jc w:val="both"/>
      </w:pPr>
      <w:r>
        <w:rPr>
          <w:rFonts w:ascii="Garamond" w:eastAsia="Garamond" w:hAnsi="Garamond" w:cs="Garamond"/>
          <w:color w:val="2A2A2A"/>
          <w:sz w:val="22"/>
          <w:szCs w:val="22"/>
        </w:rPr>
        <w:t>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14:paraId="3D82EB6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Non-Refoulement</w:t>
      </w:r>
    </w:p>
    <w:p w14:paraId="432EEB6F" w14:textId="51011DAD" w:rsidR="00CD141D" w:rsidRDefault="00000000" w:rsidP="00A36A94">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Official Capacity Protection</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Constitutional officers and persons acting within the authority of a constitutional office in the performance of official functions hold protection from civil proceedings arising from those official acts. This protection does not extend to criminal conduct, acts performed outside official capacity or authority, or acts that violate any provision of this constitution. Nothing in this provision bars legal remedies otherwise available under this constitution or statute.</w:t>
      </w:r>
    </w:p>
    <w:p w14:paraId="285F4CDF" w14:textId="77777777" w:rsidR="00CD141D" w:rsidRDefault="00CD141D" w:rsidP="00CD141D">
      <w:pPr>
        <w:spacing w:before="200" w:after="60"/>
        <w:ind w:left="431"/>
      </w:pPr>
    </w:p>
    <w:p w14:paraId="0E0AE5FC" w14:textId="77777777" w:rsidR="00CD141D" w:rsidRDefault="00CD141D">
      <w:pPr>
        <w:spacing w:after="120"/>
        <w:ind w:left="431"/>
        <w:jc w:val="both"/>
      </w:pPr>
    </w:p>
    <w:p w14:paraId="4E8DD8F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 — The Dual Executive</w:t>
      </w:r>
    </w:p>
    <w:p w14:paraId="32C93161" w14:textId="77777777" w:rsidR="00AF3D56" w:rsidRDefault="00000000">
      <w:pPr>
        <w:spacing w:before="200" w:after="60"/>
        <w:ind w:left="431"/>
      </w:pPr>
      <w:r>
        <w:rPr>
          <w:rFonts w:ascii="Courier New" w:eastAsia="Courier New" w:hAnsi="Courier New" w:cs="Courier New"/>
          <w:b/>
          <w:bCs/>
          <w:color w:val="2A2A2A"/>
          <w:sz w:val="18"/>
          <w:szCs w:val="18"/>
        </w:rPr>
        <w:t xml:space="preserve">§2.1  </w:t>
      </w:r>
      <w:r>
        <w:rPr>
          <w:rFonts w:ascii="Garamond" w:eastAsia="Garamond" w:hAnsi="Garamond" w:cs="Garamond"/>
          <w:i/>
          <w:iCs/>
          <w:color w:val="1B2A4A"/>
          <w:sz w:val="22"/>
          <w:szCs w:val="22"/>
        </w:rPr>
        <w:t>The Legat Consul — Domain and Term</w:t>
      </w:r>
    </w:p>
    <w:p w14:paraId="6B78322C" w14:textId="77777777" w:rsidR="00AF3D56" w:rsidRDefault="00000000">
      <w:pPr>
        <w:spacing w:after="120"/>
        <w:ind w:left="431"/>
        <w:jc w:val="both"/>
      </w:pPr>
      <w:r>
        <w:rPr>
          <w:rFonts w:ascii="Garamond" w:eastAsia="Garamond" w:hAnsi="Garamond" w:cs="Garamond"/>
          <w:color w:val="2A2A2A"/>
          <w:sz w:val="22"/>
          <w:szCs w:val="22"/>
        </w:rPr>
        <w:t>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compact relationships with recognized indigenous nations under Article XVI;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the specific action giving rise to the dispute is suspended. Either executive may petition the SC under its original jurisdiction in §4.5 for domain determination. During active military operations, the Legat Consul’s domain governs operational decisions.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14:paraId="7D29BD50" w14:textId="77777777" w:rsidR="00AF3D56" w:rsidRDefault="00000000">
      <w:pPr>
        <w:spacing w:before="200" w:after="60"/>
        <w:ind w:left="431"/>
      </w:pPr>
      <w:r>
        <w:rPr>
          <w:rFonts w:ascii="Courier New" w:eastAsia="Courier New" w:hAnsi="Courier New" w:cs="Courier New"/>
          <w:b/>
          <w:bCs/>
          <w:color w:val="2A2A2A"/>
          <w:sz w:val="18"/>
          <w:szCs w:val="18"/>
        </w:rPr>
        <w:t xml:space="preserve">§2.2  </w:t>
      </w:r>
      <w:r>
        <w:rPr>
          <w:rFonts w:ascii="Garamond" w:eastAsia="Garamond" w:hAnsi="Garamond" w:cs="Garamond"/>
          <w:i/>
          <w:iCs/>
          <w:color w:val="1B2A4A"/>
          <w:sz w:val="22"/>
          <w:szCs w:val="22"/>
        </w:rPr>
        <w:t>Military Authorization Framework</w:t>
      </w:r>
    </w:p>
    <w:p w14:paraId="4550A584" w14:textId="77777777" w:rsidR="00AF3D56" w:rsidRDefault="00000000">
      <w:pPr>
        <w:spacing w:after="120"/>
        <w:ind w:left="431"/>
        <w:jc w:val="both"/>
      </w:pPr>
      <w:r>
        <w:rPr>
          <w:rFonts w:ascii="Garamond" w:eastAsia="Garamond" w:hAnsi="Garamond" w:cs="Garamond"/>
          <w:color w:val="2A2A2A"/>
          <w:sz w:val="22"/>
          <w:szCs w:val="22"/>
        </w:rPr>
        <w:t>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14:paraId="41EA91BE" w14:textId="77777777" w:rsidR="00AF3D56" w:rsidRDefault="00000000">
      <w:pPr>
        <w:spacing w:before="200" w:after="60"/>
        <w:ind w:left="431"/>
      </w:pPr>
      <w:r>
        <w:rPr>
          <w:rFonts w:ascii="Courier New" w:eastAsia="Courier New" w:hAnsi="Courier New" w:cs="Courier New"/>
          <w:b/>
          <w:bCs/>
          <w:color w:val="2A2A2A"/>
          <w:sz w:val="18"/>
          <w:szCs w:val="18"/>
        </w:rPr>
        <w:t xml:space="preserve">§2.3  </w:t>
      </w:r>
      <w:r>
        <w:rPr>
          <w:rFonts w:ascii="Garamond" w:eastAsia="Garamond" w:hAnsi="Garamond" w:cs="Garamond"/>
          <w:i/>
          <w:iCs/>
          <w:color w:val="1B2A4A"/>
          <w:sz w:val="22"/>
          <w:szCs w:val="22"/>
        </w:rPr>
        <w:t>Consular Intelligence and Veto</w:t>
      </w:r>
    </w:p>
    <w:p w14:paraId="5EE6093A" w14:textId="77777777" w:rsidR="00AF3D56" w:rsidRDefault="00000000">
      <w:pPr>
        <w:spacing w:after="120"/>
        <w:ind w:left="431"/>
        <w:jc w:val="both"/>
      </w:pPr>
      <w:r>
        <w:rPr>
          <w:rFonts w:ascii="Garamond" w:eastAsia="Garamond" w:hAnsi="Garamond" w:cs="Garamond"/>
          <w:color w:val="2A2A2A"/>
          <w:sz w:val="22"/>
          <w:szCs w:val="22"/>
        </w:rPr>
        <w:t>The Legat Consul directs foreign intelligence. No intelligence operation may be conducted against Republic citizens within Republic territory on the Legat Consul's authority; such operations require independent judicial authorization.</w:t>
      </w:r>
    </w:p>
    <w:p w14:paraId="39FCE2CB" w14:textId="77777777" w:rsidR="00AF3D56" w:rsidRDefault="00000000">
      <w:pPr>
        <w:spacing w:before="200" w:after="60"/>
        <w:ind w:left="431"/>
      </w:pPr>
      <w:r>
        <w:rPr>
          <w:rFonts w:ascii="Courier New" w:eastAsia="Courier New" w:hAnsi="Courier New" w:cs="Courier New"/>
          <w:b/>
          <w:bCs/>
          <w:color w:val="2A2A2A"/>
          <w:sz w:val="18"/>
          <w:szCs w:val="18"/>
        </w:rPr>
        <w:t xml:space="preserve">§2.3.a  </w:t>
      </w:r>
      <w:r>
        <w:rPr>
          <w:rFonts w:ascii="Garamond" w:eastAsia="Garamond" w:hAnsi="Garamond" w:cs="Garamond"/>
          <w:i/>
          <w:iCs/>
          <w:color w:val="1B2A4A"/>
          <w:sz w:val="22"/>
          <w:szCs w:val="22"/>
        </w:rPr>
        <w:t>Legat Consul Legislative Veto</w:t>
      </w:r>
    </w:p>
    <w:p w14:paraId="35954EBA" w14:textId="77777777" w:rsidR="00AF3D56" w:rsidRDefault="00000000">
      <w:pPr>
        <w:spacing w:after="120"/>
        <w:ind w:left="431"/>
        <w:jc w:val="both"/>
      </w:pPr>
      <w:r>
        <w:rPr>
          <w:rFonts w:ascii="Garamond" w:eastAsia="Garamond" w:hAnsi="Garamond" w:cs="Garamond"/>
          <w:color w:val="2A2A2A"/>
          <w:sz w:val="22"/>
          <w:szCs w:val="22"/>
        </w:rPr>
        <w:t>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is enacted by operation of law. The Legat Consul’s veto may be used only once on any bill; a bill reintroduced and passed by both chambers in a subsequent session proceeds without Legat Consul interference. Under §9.1, either Speaker may request an EM assessment of the domain question. The Senate may override by 2/3 supermajority at any time during that session; where no override occurs, the bill lapses for that session.</w:t>
      </w:r>
    </w:p>
    <w:p w14:paraId="3BFA0C43" w14:textId="77777777" w:rsidR="00AF3D56" w:rsidRDefault="00000000">
      <w:pPr>
        <w:spacing w:before="200" w:after="60"/>
        <w:ind w:left="431"/>
      </w:pPr>
      <w:r>
        <w:rPr>
          <w:rFonts w:ascii="Courier New" w:eastAsia="Courier New" w:hAnsi="Courier New" w:cs="Courier New"/>
          <w:b/>
          <w:bCs/>
          <w:color w:val="2A2A2A"/>
          <w:sz w:val="18"/>
          <w:szCs w:val="18"/>
        </w:rPr>
        <w:t xml:space="preserve">§2.4  </w:t>
      </w:r>
      <w:r>
        <w:rPr>
          <w:rFonts w:ascii="Garamond" w:eastAsia="Garamond" w:hAnsi="Garamond" w:cs="Garamond"/>
          <w:i/>
          <w:iCs/>
          <w:color w:val="1B2A4A"/>
          <w:sz w:val="22"/>
          <w:szCs w:val="22"/>
        </w:rPr>
        <w:t>Legat Consul International Agreements</w:t>
      </w:r>
    </w:p>
    <w:p w14:paraId="02B54641" w14:textId="77777777" w:rsidR="00AF3D56" w:rsidRDefault="00000000">
      <w:pPr>
        <w:spacing w:after="120"/>
        <w:ind w:left="431"/>
        <w:jc w:val="both"/>
      </w:pPr>
      <w:r>
        <w:rPr>
          <w:rFonts w:ascii="Garamond" w:eastAsia="Garamond" w:hAnsi="Garamond" w:cs="Garamond"/>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w:t>
      </w:r>
      <w:r>
        <w:rPr>
          <w:rFonts w:ascii="Garamond" w:eastAsia="Garamond" w:hAnsi="Garamond" w:cs="Garamond"/>
          <w:color w:val="2A2A2A"/>
          <w:sz w:val="22"/>
          <w:szCs w:val="22"/>
        </w:rPr>
        <w:lastRenderedPageBreak/>
        <w:t>candidates maintained by the Elections Panel under §9.12. The Legislature defines qualifications and confirmation procedures for each office by statute; acting appointments may be made pending confirmation for the period and under the conditions the Legislature defines.</w:t>
      </w:r>
    </w:p>
    <w:p w14:paraId="7F54CBE7" w14:textId="77777777" w:rsidR="00AF3D56" w:rsidRDefault="00000000">
      <w:pPr>
        <w:spacing w:before="200" w:after="60"/>
        <w:ind w:left="431"/>
      </w:pPr>
      <w:r>
        <w:rPr>
          <w:rFonts w:ascii="Courier New" w:eastAsia="Courier New" w:hAnsi="Courier New" w:cs="Courier New"/>
          <w:b/>
          <w:bCs/>
          <w:color w:val="2A2A2A"/>
          <w:sz w:val="18"/>
          <w:szCs w:val="18"/>
        </w:rPr>
        <w:t xml:space="preserve">§2.5  </w:t>
      </w:r>
      <w:r>
        <w:rPr>
          <w:rFonts w:ascii="Garamond" w:eastAsia="Garamond" w:hAnsi="Garamond" w:cs="Garamond"/>
          <w:i/>
          <w:iCs/>
          <w:color w:val="1B2A4A"/>
          <w:sz w:val="22"/>
          <w:szCs w:val="22"/>
        </w:rPr>
        <w:t>The Civic Consul — Domain and Term</w:t>
      </w:r>
    </w:p>
    <w:p w14:paraId="731F6822" w14:textId="77777777" w:rsidR="00AF3D56" w:rsidRDefault="00000000">
      <w:pPr>
        <w:spacing w:after="120"/>
        <w:ind w:left="431"/>
        <w:jc w:val="both"/>
      </w:pPr>
      <w:r>
        <w:rPr>
          <w:rFonts w:ascii="Garamond" w:eastAsia="Garamond" w:hAnsi="Garamond" w:cs="Garamond"/>
          <w:color w:val="2A2A2A"/>
          <w:sz w:val="22"/>
          <w:szCs w:val="22"/>
        </w:rPr>
        <w:t>The Civic Consul holds residual executive authority over all functions not enumerated to the Legat Consul. To hold the office of Civic Consul, a person must have been a citizen for at least 7 years at the time of taking office and must hold no federal felony conviction. No other eligibility requirement applies. The Civic Consul serves at the confidence of the Assembly, subject to removal under §2.6. No person may serve more than 8 years in total as Civic Consul across all periods of service; this limit is cumulative and permanent regardless of interruption. The Civic Consul's domestic authority includes: all domestic policy and regulatory frameworks; preparation of a proposed budget for the civic domain, submitted to the Assembly under §12.2;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in the absence of a statutory interval, the constitutional default is 30 days. The Legat Consul has no role in domestic emergencies.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compact negotiations under Article XVI; the Civic Consul’s response is advisory. Where the Civic Consul is temporarily unable to exercise authority, the Civic Consul’s designated Acting Civic Consul, who must meet the eligibility requirements for the office of Civic Consul under this section, serves with authority limited to maintaining existing policy and emergency functions; where no such designation exists or the designated Acting Civic Consul is unavailable, the Assembly Speaker serves as Acting Civic Consul with the same authority limitation. Acting status ends when the Civic Consul resumes their duties or a new Civic Consul is confirmed by the Assembly.</w:t>
      </w:r>
    </w:p>
    <w:p w14:paraId="16EAE3DB" w14:textId="77777777" w:rsidR="00AF3D56" w:rsidRDefault="00000000">
      <w:pPr>
        <w:spacing w:before="200" w:after="60"/>
        <w:ind w:left="431"/>
      </w:pPr>
      <w:r>
        <w:rPr>
          <w:rFonts w:ascii="Courier New" w:eastAsia="Courier New" w:hAnsi="Courier New" w:cs="Courier New"/>
          <w:b/>
          <w:bCs/>
          <w:color w:val="2A2A2A"/>
          <w:sz w:val="18"/>
          <w:szCs w:val="18"/>
        </w:rPr>
        <w:t xml:space="preserve">§2.6  </w:t>
      </w:r>
      <w:r>
        <w:rPr>
          <w:rFonts w:ascii="Garamond" w:eastAsia="Garamond" w:hAnsi="Garamond" w:cs="Garamond"/>
          <w:i/>
          <w:iCs/>
          <w:color w:val="1B2A4A"/>
          <w:sz w:val="22"/>
          <w:szCs w:val="22"/>
        </w:rPr>
        <w:t>Constructive Vote of No Confidence</w:t>
      </w:r>
    </w:p>
    <w:p w14:paraId="4C33F3A4" w14:textId="77777777" w:rsidR="00AF3D56" w:rsidRDefault="00000000">
      <w:pPr>
        <w:spacing w:after="120"/>
        <w:ind w:left="431"/>
        <w:jc w:val="both"/>
      </w:pPr>
      <w:r>
        <w:rPr>
          <w:rFonts w:ascii="Garamond" w:eastAsia="Garamond" w:hAnsi="Garamond" w:cs="Garamond"/>
          <w:color w:val="2A2A2A"/>
          <w:sz w:val="22"/>
          <w:szCs w:val="22"/>
        </w:rPr>
        <w:t>The Civic Consul is accountable to the Assembly. The Assembly may remove the Civic Consul only through a constructive vote of no confidence: a single vote that simultaneously removes the sitting Civic Consul and installs a named replacement, by 60 percent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w:t>
      </w:r>
    </w:p>
    <w:p w14:paraId="0016C56E" w14:textId="77777777" w:rsidR="00AF3D56" w:rsidRDefault="00000000">
      <w:pPr>
        <w:spacing w:before="200" w:after="60"/>
        <w:ind w:left="431"/>
      </w:pPr>
      <w:r>
        <w:rPr>
          <w:rFonts w:ascii="Courier New" w:eastAsia="Courier New" w:hAnsi="Courier New" w:cs="Courier New"/>
          <w:b/>
          <w:bCs/>
          <w:color w:val="2A2A2A"/>
          <w:sz w:val="18"/>
          <w:szCs w:val="18"/>
        </w:rPr>
        <w:t xml:space="preserve">§2.6.a  </w:t>
      </w:r>
      <w:r>
        <w:rPr>
          <w:rFonts w:ascii="Garamond" w:eastAsia="Garamond" w:hAnsi="Garamond" w:cs="Garamond"/>
          <w:i/>
          <w:iCs/>
          <w:color w:val="1B2A4A"/>
          <w:sz w:val="22"/>
          <w:szCs w:val="22"/>
        </w:rPr>
        <w:t>Government Formation</w:t>
      </w:r>
    </w:p>
    <w:p w14:paraId="04A0C131" w14:textId="77777777" w:rsidR="00AF3D56" w:rsidRDefault="00000000">
      <w:pPr>
        <w:spacing w:after="120"/>
        <w:ind w:left="431"/>
        <w:jc w:val="both"/>
      </w:pPr>
      <w:r>
        <w:rPr>
          <w:rFonts w:ascii="Garamond" w:eastAsia="Garamond" w:hAnsi="Garamond" w:cs="Garamond"/>
          <w:color w:val="2A2A2A"/>
          <w:sz w:val="22"/>
          <w:szCs w:val="22"/>
        </w:rPr>
        <w:t xml:space="preserve">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designation falls to a serving Assembly member. The designation is published to the NRS.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and the Senate has not designated one within 45 days of the Assembly failing to elect, the Legat Consul nominates a serving Assembly member as Civic Consul within 21 days, published to the NRS; the Senate confirms by simple majority within 21 days of nomination; the confirmed appointee holds full Civic Consul authority and is subject to removal under §2.6. Where the Legat Consul does not nominate within 21 days or the Senate does not confirm within 21 days of nomination, the most senior Assembly member by continuous service who otherwise meets the requirements for Civic Consul assumes the role by constitutional operation, </w:t>
      </w:r>
      <w:r>
        <w:rPr>
          <w:rFonts w:ascii="Garamond" w:eastAsia="Garamond" w:hAnsi="Garamond" w:cs="Garamond"/>
          <w:color w:val="2A2A2A"/>
          <w:sz w:val="22"/>
          <w:szCs w:val="22"/>
        </w:rPr>
        <w:lastRenderedPageBreak/>
        <w:t>published to the NRS; this appointee holds full Civic Consul authority and is subject to removal under §2.6. Where two or more Assembly members have equal continuous service, the tiebreaker is determined by statute.</w:t>
      </w:r>
    </w:p>
    <w:p w14:paraId="26201912" w14:textId="77777777" w:rsidR="00AF3D56" w:rsidRDefault="00000000">
      <w:pPr>
        <w:spacing w:before="200" w:after="60"/>
        <w:ind w:left="431"/>
      </w:pPr>
      <w:r>
        <w:rPr>
          <w:rFonts w:ascii="Courier New" w:eastAsia="Courier New" w:hAnsi="Courier New" w:cs="Courier New"/>
          <w:b/>
          <w:bCs/>
          <w:color w:val="2A2A2A"/>
          <w:sz w:val="18"/>
          <w:szCs w:val="18"/>
        </w:rPr>
        <w:t xml:space="preserve">§2.7  </w:t>
      </w:r>
      <w:r>
        <w:rPr>
          <w:rFonts w:ascii="Garamond" w:eastAsia="Garamond" w:hAnsi="Garamond" w:cs="Garamond"/>
          <w:i/>
          <w:iCs/>
          <w:color w:val="1B2A4A"/>
          <w:sz w:val="22"/>
          <w:szCs w:val="22"/>
        </w:rPr>
        <w:t>Civic Consul Legislative Instruments</w:t>
      </w:r>
    </w:p>
    <w:p w14:paraId="386E8560" w14:textId="77777777" w:rsidR="00AF3D56" w:rsidRDefault="00000000">
      <w:pPr>
        <w:spacing w:after="120"/>
        <w:ind w:left="431"/>
        <w:jc w:val="both"/>
      </w:pPr>
      <w:r>
        <w:rPr>
          <w:rFonts w:ascii="Garamond" w:eastAsia="Garamond" w:hAnsi="Garamond" w:cs="Garamond"/>
          <w:color w:val="2A2A2A"/>
          <w:sz w:val="22"/>
          <w:szCs w:val="22"/>
        </w:rPr>
        <w:t>The Civic Consul may withhold assent by returning a bill within 10 business days of final passage with written grounds published to the NRS; the bill is tabled for one month regardless of any change in CC office. The Senate may override by 2/3 supermajority during that month; failing override, the bill returns to the Legislature and must pass both chambers again before returning to the Civic Consul, who may not exercise the suspensive veto on that bill again, including where that bill lapses and is reintroduced in a subsequent session. The Civic Consul may also issue a fiscal notice — a written NRS statement that a bill would cause or materially worsen a structural deficit — at any point within the 10-business-day review window; a fiscal notice does not block enactment but entitles the Assembly Speaker to recall the bill for reconsideration within the remaining window; both instruments may be used on the same bill. Where the Civic Consul neither returns the bill nor issues a fiscal notice within 10 business days of final passage, the bill is enacted by operation of law. The suspensive veto may not be used on the annual budget, bills implementing a constitutional obligation, or emergency legislation. Both executives review concurrently from final passage.</w:t>
      </w:r>
    </w:p>
    <w:p w14:paraId="02FF8045" w14:textId="77777777" w:rsidR="00AF3D56" w:rsidRDefault="00000000">
      <w:pPr>
        <w:spacing w:before="200" w:after="60"/>
        <w:ind w:left="431"/>
      </w:pPr>
      <w:r>
        <w:rPr>
          <w:rFonts w:ascii="Courier New" w:eastAsia="Courier New" w:hAnsi="Courier New" w:cs="Courier New"/>
          <w:b/>
          <w:bCs/>
          <w:color w:val="2A2A2A"/>
          <w:sz w:val="18"/>
          <w:szCs w:val="18"/>
        </w:rPr>
        <w:t xml:space="preserve">§2.8  </w:t>
      </w:r>
      <w:r>
        <w:rPr>
          <w:rFonts w:ascii="Garamond" w:eastAsia="Garamond" w:hAnsi="Garamond" w:cs="Garamond"/>
          <w:i/>
          <w:iCs/>
          <w:color w:val="1B2A4A"/>
          <w:sz w:val="22"/>
          <w:szCs w:val="22"/>
        </w:rPr>
        <w:t>Duty of Refusal</w:t>
      </w:r>
    </w:p>
    <w:p w14:paraId="1EE87E68" w14:textId="77777777" w:rsidR="00AF3D56" w:rsidRDefault="00000000">
      <w:pPr>
        <w:spacing w:after="120"/>
        <w:ind w:left="431"/>
        <w:jc w:val="both"/>
      </w:pPr>
      <w:r>
        <w:rPr>
          <w:rFonts w:ascii="Garamond" w:eastAsia="Garamond" w:hAnsi="Garamond" w:cs="Garamond"/>
          <w:color w:val="2A2A2A"/>
          <w:sz w:val="22"/>
          <w:szCs w:val="22"/>
        </w:rPr>
        <w:t>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14:paraId="58461D1F" w14:textId="77777777" w:rsidR="00AF3D56" w:rsidRDefault="00000000">
      <w:pPr>
        <w:spacing w:before="200" w:after="60"/>
        <w:ind w:left="431"/>
      </w:pPr>
      <w:r>
        <w:rPr>
          <w:rFonts w:ascii="Courier New" w:eastAsia="Courier New" w:hAnsi="Courier New" w:cs="Courier New"/>
          <w:b/>
          <w:bCs/>
          <w:color w:val="2A2A2A"/>
          <w:sz w:val="18"/>
          <w:szCs w:val="18"/>
        </w:rPr>
        <w:t xml:space="preserve">§2.9  </w:t>
      </w:r>
      <w:r>
        <w:rPr>
          <w:rFonts w:ascii="Garamond" w:eastAsia="Garamond" w:hAnsi="Garamond" w:cs="Garamond"/>
          <w:i/>
          <w:iCs/>
          <w:color w:val="1B2A4A"/>
          <w:sz w:val="22"/>
          <w:szCs w:val="22"/>
        </w:rPr>
        <w:t>Legat Consul Succession and Incapacity</w:t>
      </w:r>
    </w:p>
    <w:p w14:paraId="14D807BB" w14:textId="77777777" w:rsidR="00AF3D56" w:rsidRDefault="00000000">
      <w:pPr>
        <w:spacing w:after="120"/>
        <w:ind w:left="431"/>
        <w:jc w:val="both"/>
      </w:pPr>
      <w:r>
        <w:rPr>
          <w:rFonts w:ascii="Garamond" w:eastAsia="Garamond" w:hAnsi="Garamond" w:cs="Garamond"/>
          <w:color w:val="2A2A2A"/>
          <w:sz w:val="22"/>
          <w:szCs w:val="22"/>
        </w:rPr>
        <w:t>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a majority of the JMC assesses capacity and, on joint assessment published to the NRS, Acting Legat Consul authority transfers to the Senate Speaker without vacating the Speaker's Senate seat by constitutional operation from that moment. Acting authority ends when the Legat Consul publishes a restoration declaration to the NRS.</w:t>
      </w:r>
    </w:p>
    <w:p w14:paraId="3EAD3FC4" w14:textId="77777777" w:rsidR="00AF3D56" w:rsidRDefault="00000000">
      <w:pPr>
        <w:spacing w:before="200" w:after="60"/>
        <w:ind w:left="431"/>
      </w:pPr>
      <w:r>
        <w:rPr>
          <w:rFonts w:ascii="Courier New" w:eastAsia="Courier New" w:hAnsi="Courier New" w:cs="Courier New"/>
          <w:b/>
          <w:bCs/>
          <w:color w:val="2A2A2A"/>
          <w:sz w:val="18"/>
          <w:szCs w:val="18"/>
        </w:rPr>
        <w:t xml:space="preserve">§2.10  </w:t>
      </w:r>
      <w:r>
        <w:rPr>
          <w:rFonts w:ascii="Garamond" w:eastAsia="Garamond" w:hAnsi="Garamond" w:cs="Garamond"/>
          <w:i/>
          <w:iCs/>
          <w:color w:val="1B2A4A"/>
          <w:sz w:val="22"/>
          <w:szCs w:val="22"/>
        </w:rPr>
        <w:t>Executive Transparency</w:t>
      </w:r>
    </w:p>
    <w:p w14:paraId="177409D6" w14:textId="77777777" w:rsidR="00AF3D56" w:rsidRDefault="00000000">
      <w:pPr>
        <w:spacing w:after="120"/>
        <w:ind w:left="431"/>
        <w:jc w:val="both"/>
      </w:pPr>
      <w:r>
        <w:rPr>
          <w:rFonts w:ascii="Garamond" w:eastAsia="Garamond" w:hAnsi="Garamond" w:cs="Garamond"/>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w:t>
      </w:r>
      <w:r>
        <w:rPr>
          <w:rFonts w:ascii="Garamond" w:eastAsia="Garamond" w:hAnsi="Garamond" w:cs="Garamond"/>
          <w:color w:val="2A2A2A"/>
          <w:sz w:val="22"/>
          <w:szCs w:val="22"/>
        </w:rPr>
        <w:lastRenderedPageBreak/>
        <w:t>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14:paraId="59AA2318" w14:textId="77777777" w:rsidR="00AF3D56" w:rsidRDefault="00000000">
      <w:pPr>
        <w:spacing w:before="200" w:after="60"/>
        <w:ind w:left="431"/>
      </w:pPr>
      <w:r>
        <w:rPr>
          <w:rFonts w:ascii="Courier New" w:eastAsia="Courier New" w:hAnsi="Courier New" w:cs="Courier New"/>
          <w:b/>
          <w:bCs/>
          <w:color w:val="2A2A2A"/>
          <w:sz w:val="18"/>
          <w:szCs w:val="18"/>
        </w:rPr>
        <w:t xml:space="preserve">§2.11  </w:t>
      </w:r>
      <w:r>
        <w:rPr>
          <w:rFonts w:ascii="Garamond" w:eastAsia="Garamond" w:hAnsi="Garamond" w:cs="Garamond"/>
          <w:i/>
          <w:iCs/>
          <w:color w:val="1B2A4A"/>
          <w:sz w:val="22"/>
          <w:szCs w:val="22"/>
        </w:rPr>
        <w:t>Emergency Governance</w:t>
      </w:r>
    </w:p>
    <w:p w14:paraId="6F112D14" w14:textId="77777777" w:rsidR="00AF3D56" w:rsidRDefault="00000000">
      <w:pPr>
        <w:spacing w:after="120"/>
        <w:ind w:left="431"/>
        <w:jc w:val="both"/>
      </w:pPr>
      <w:r>
        <w:rPr>
          <w:rFonts w:ascii="Garamond" w:eastAsia="Garamond" w:hAnsi="Garamond" w:cs="Garamond"/>
          <w:color w:val="2A2A2A"/>
          <w:sz w:val="22"/>
          <w:szCs w:val="22"/>
        </w:rPr>
        <w:t>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14:paraId="00FB3E8C" w14:textId="77777777" w:rsidR="00AF3D56" w:rsidRDefault="00000000">
      <w:pPr>
        <w:spacing w:before="200" w:after="60"/>
        <w:ind w:left="431"/>
      </w:pPr>
      <w:r>
        <w:rPr>
          <w:rFonts w:ascii="Courier New" w:eastAsia="Courier New" w:hAnsi="Courier New" w:cs="Courier New"/>
          <w:b/>
          <w:bCs/>
          <w:color w:val="2A2A2A"/>
          <w:sz w:val="18"/>
          <w:szCs w:val="18"/>
        </w:rPr>
        <w:t xml:space="preserve">§2.12  </w:t>
      </w:r>
      <w:r>
        <w:rPr>
          <w:rFonts w:ascii="Garamond" w:eastAsia="Garamond" w:hAnsi="Garamond" w:cs="Garamond"/>
          <w:i/>
          <w:iCs/>
          <w:color w:val="1B2A4A"/>
          <w:sz w:val="22"/>
          <w:szCs w:val="22"/>
        </w:rPr>
        <w:t>Clemency</w:t>
      </w:r>
    </w:p>
    <w:p w14:paraId="419B3216" w14:textId="77777777" w:rsidR="00AF3D56" w:rsidRDefault="00000000">
      <w:pPr>
        <w:spacing w:after="120"/>
        <w:ind w:left="431"/>
        <w:jc w:val="both"/>
      </w:pPr>
      <w:r>
        <w:rPr>
          <w:rFonts w:ascii="Garamond" w:eastAsia="Garamond" w:hAnsi="Garamond" w:cs="Garamond"/>
          <w:color w:val="2A2A2A"/>
          <w:sz w:val="22"/>
          <w:szCs w:val="22"/>
        </w:rPr>
        <w:t>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Every grant is subject to cross-chamber transparency review. Group amnesty requires legislative action; no executive may grant group amnesty.</w:t>
      </w:r>
    </w:p>
    <w:p w14:paraId="79DD5CCB" w14:textId="77777777" w:rsidR="00AF3D56" w:rsidRDefault="00000000">
      <w:pPr>
        <w:spacing w:before="200" w:after="60"/>
        <w:ind w:left="431"/>
      </w:pPr>
      <w:r>
        <w:rPr>
          <w:rFonts w:ascii="Courier New" w:eastAsia="Courier New" w:hAnsi="Courier New" w:cs="Courier New"/>
          <w:b/>
          <w:bCs/>
          <w:color w:val="2A2A2A"/>
          <w:sz w:val="18"/>
          <w:szCs w:val="18"/>
        </w:rPr>
        <w:t xml:space="preserve">§2.13  </w:t>
      </w:r>
      <w:r>
        <w:rPr>
          <w:rFonts w:ascii="Garamond" w:eastAsia="Garamond" w:hAnsi="Garamond" w:cs="Garamond"/>
          <w:i/>
          <w:iCs/>
          <w:color w:val="1B2A4A"/>
          <w:sz w:val="22"/>
          <w:szCs w:val="22"/>
        </w:rPr>
        <w:t>Consular Removal</w:t>
      </w:r>
    </w:p>
    <w:p w14:paraId="3C3DC524" w14:textId="77777777" w:rsidR="00AF3D56" w:rsidRDefault="00000000">
      <w:pPr>
        <w:spacing w:after="120"/>
        <w:ind w:left="431"/>
        <w:jc w:val="both"/>
      </w:pPr>
      <w:r>
        <w:rPr>
          <w:rFonts w:ascii="Garamond" w:eastAsia="Garamond" w:hAnsi="Garamond" w:cs="Garamond"/>
          <w:color w:val="2A2A2A"/>
          <w:sz w:val="22"/>
          <w:szCs w:val="22"/>
        </w:rPr>
        <w:t>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14:paraId="28C0D769" w14:textId="77777777" w:rsidR="00AF3D56" w:rsidRDefault="00000000">
      <w:pPr>
        <w:spacing w:before="200" w:after="60"/>
        <w:ind w:left="431"/>
      </w:pPr>
      <w:r>
        <w:rPr>
          <w:rFonts w:ascii="Courier New" w:eastAsia="Courier New" w:hAnsi="Courier New" w:cs="Courier New"/>
          <w:b/>
          <w:bCs/>
          <w:color w:val="2A2A2A"/>
          <w:sz w:val="18"/>
          <w:szCs w:val="18"/>
        </w:rPr>
        <w:t xml:space="preserve">§2.14  </w:t>
      </w:r>
      <w:r>
        <w:rPr>
          <w:rFonts w:ascii="Garamond" w:eastAsia="Garamond" w:hAnsi="Garamond" w:cs="Garamond"/>
          <w:i/>
          <w:iCs/>
          <w:color w:val="1B2A4A"/>
          <w:sz w:val="22"/>
          <w:szCs w:val="22"/>
        </w:rPr>
        <w:t>Council of Ministers</w:t>
      </w:r>
    </w:p>
    <w:p w14:paraId="0914AF1D" w14:textId="77777777" w:rsidR="00AF3D56" w:rsidRDefault="00000000">
      <w:pPr>
        <w:spacing w:after="120"/>
        <w:ind w:left="431"/>
        <w:jc w:val="both"/>
      </w:pPr>
      <w:r>
        <w:rPr>
          <w:rFonts w:ascii="Garamond" w:eastAsia="Garamond" w:hAnsi="Garamond" w:cs="Garamond"/>
          <w:color w:val="2A2A2A"/>
          <w:sz w:val="22"/>
          <w:szCs w:val="22"/>
        </w:rPr>
        <w:t>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§2.14.a  </w:t>
      </w:r>
      <w:r>
        <w:rPr>
          <w:rFonts w:ascii="Garamond" w:eastAsia="Garamond" w:hAnsi="Garamond" w:cs="Garamond"/>
          <w:i/>
          <w:iCs/>
          <w:color w:val="1B2A4A"/>
          <w:sz w:val="22"/>
          <w:szCs w:val="22"/>
        </w:rPr>
        <w:t>Cross-Domain Emergency Lead</w:t>
      </w:r>
    </w:p>
    <w:p w14:paraId="70E13777" w14:textId="77777777" w:rsidR="00AF3D56" w:rsidRDefault="00000000">
      <w:pPr>
        <w:spacing w:after="120"/>
        <w:ind w:left="431"/>
        <w:jc w:val="both"/>
      </w:pPr>
      <w:r>
        <w:rPr>
          <w:rFonts w:ascii="Garamond" w:eastAsia="Garamond" w:hAnsi="Garamond" w:cs="Garamond"/>
          <w:color w:val="2A2A2A"/>
          <w:sz w:val="22"/>
          <w:szCs w:val="22"/>
        </w:rPr>
        <w:lastRenderedPageBreak/>
        <w:t>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14:paraId="0B19BB75" w14:textId="77777777" w:rsidR="00AF3D56" w:rsidRDefault="00000000">
      <w:pPr>
        <w:spacing w:before="200" w:after="60"/>
        <w:ind w:left="431"/>
      </w:pPr>
      <w:r>
        <w:rPr>
          <w:rFonts w:ascii="Courier New" w:eastAsia="Courier New" w:hAnsi="Courier New" w:cs="Courier New"/>
          <w:b/>
          <w:bCs/>
          <w:color w:val="2A2A2A"/>
          <w:sz w:val="18"/>
          <w:szCs w:val="18"/>
        </w:rPr>
        <w:t xml:space="preserve">§2.16  </w:t>
      </w:r>
      <w:r>
        <w:rPr>
          <w:rFonts w:ascii="Garamond" w:eastAsia="Garamond" w:hAnsi="Garamond" w:cs="Garamond"/>
          <w:i/>
          <w:iCs/>
          <w:color w:val="1B2A4A"/>
          <w:sz w:val="22"/>
          <w:szCs w:val="22"/>
        </w:rPr>
        <w:t>Federal Prosecution</w:t>
      </w:r>
    </w:p>
    <w:p w14:paraId="75392848" w14:textId="77777777" w:rsidR="00AF3D56" w:rsidRDefault="00000000">
      <w:pPr>
        <w:spacing w:after="120"/>
        <w:ind w:left="431"/>
        <w:jc w:val="both"/>
      </w:pPr>
      <w:r>
        <w:rPr>
          <w:rFonts w:ascii="Garamond" w:eastAsia="Garamond" w:hAnsi="Garamond" w:cs="Garamond"/>
          <w:color w:val="2A2A2A"/>
          <w:sz w:val="22"/>
          <w:szCs w:val="22"/>
        </w:rPr>
        <w:t>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14:paraId="2CCB358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III — The Legislature</w:t>
      </w:r>
    </w:p>
    <w:p w14:paraId="0AD0B6E3" w14:textId="77777777" w:rsidR="00AF3D56" w:rsidRDefault="00000000">
      <w:pPr>
        <w:spacing w:before="200" w:after="60"/>
        <w:ind w:left="431"/>
      </w:pPr>
      <w:r>
        <w:rPr>
          <w:rFonts w:ascii="Courier New" w:eastAsia="Courier New" w:hAnsi="Courier New" w:cs="Courier New"/>
          <w:b/>
          <w:bCs/>
          <w:color w:val="2A2A2A"/>
          <w:sz w:val="18"/>
          <w:szCs w:val="18"/>
        </w:rPr>
        <w:t xml:space="preserve">§3.1  </w:t>
      </w:r>
      <w:r>
        <w:rPr>
          <w:rFonts w:ascii="Garamond" w:eastAsia="Garamond" w:hAnsi="Garamond" w:cs="Garamond"/>
          <w:i/>
          <w:iCs/>
          <w:color w:val="1B2A4A"/>
          <w:sz w:val="22"/>
          <w:szCs w:val="22"/>
        </w:rPr>
        <w:t>The Legislature</w:t>
      </w:r>
    </w:p>
    <w:p w14:paraId="0404E335" w14:textId="77777777" w:rsidR="00AF3D56" w:rsidRDefault="00000000">
      <w:pPr>
        <w:spacing w:after="120"/>
        <w:ind w:left="431"/>
        <w:jc w:val="both"/>
      </w:pPr>
      <w:r>
        <w:rPr>
          <w:rFonts w:ascii="Garamond" w:eastAsia="Garamond" w:hAnsi="Garamond" w:cs="Garamond"/>
          <w:color w:val="2A2A2A"/>
          <w:sz w:val="22"/>
          <w:szCs w:val="22"/>
        </w:rPr>
        <w:t>The Legislature comprises two chambers: the Assembly and the Senate. All legislation originates in the Assembly. The Senate reviews, may amend within the subject matter of the bill, and must act on every Assembly-passed bill within the period defined by statute, not to exceed 90 days — inaction triggers automatic deemed approval. In the absence of a statutory period, the Senate must act within 90 days of receipt. The Senate may, by majority of full seated membership, extend the review period for any bill by one additional period not to exceed 30 days, with stated cause published to the NRS; no further extension is available and deemed approval applies at expiry. Neither chamber may indefinitely delay business assigned to it by this constitution.</w:t>
      </w:r>
    </w:p>
    <w:p w14:paraId="4A8D1955" w14:textId="77777777" w:rsidR="00AF3D56" w:rsidRDefault="00000000">
      <w:pPr>
        <w:spacing w:before="200" w:after="60"/>
        <w:ind w:left="431"/>
      </w:pPr>
      <w:r>
        <w:rPr>
          <w:rFonts w:ascii="Courier New" w:eastAsia="Courier New" w:hAnsi="Courier New" w:cs="Courier New"/>
          <w:b/>
          <w:bCs/>
          <w:color w:val="2A2A2A"/>
          <w:sz w:val="18"/>
          <w:szCs w:val="18"/>
        </w:rPr>
        <w:t xml:space="preserve">§3.2  </w:t>
      </w:r>
      <w:r>
        <w:rPr>
          <w:rFonts w:ascii="Garamond" w:eastAsia="Garamond" w:hAnsi="Garamond" w:cs="Garamond"/>
          <w:i/>
          <w:iCs/>
          <w:color w:val="1B2A4A"/>
          <w:sz w:val="22"/>
          <w:szCs w:val="22"/>
        </w:rPr>
        <w:t>The Assembly</w:t>
      </w:r>
    </w:p>
    <w:p w14:paraId="2211AABF" w14:textId="77777777" w:rsidR="00AF3D56" w:rsidRDefault="00000000">
      <w:pPr>
        <w:spacing w:after="120"/>
        <w:ind w:left="431"/>
        <w:jc w:val="both"/>
      </w:pPr>
      <w:r>
        <w:rPr>
          <w:rFonts w:ascii="Garamond" w:eastAsia="Garamond" w:hAnsi="Garamond" w:cs="Garamond"/>
          <w:color w:val="2A2A2A"/>
          <w:sz w:val="22"/>
          <w:szCs w:val="22"/>
        </w:rPr>
        <w:t>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Any Assembly member who resigns, is expelled, or is removed by state recall at any point during a term shall be deemed to have served that full term for purposes of the consecutive-term limit.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 A State may establish by law a recall mechanism for its Assembly members; any such mechanism must operate as a punitive or political process, must not violate this Constitution, and must place the final recall decision with the State legislature or the State’s eligible voters; no recall may proceed on the decision of an executive officer, administrative body, or court alone; where an Assembly member is recalled the seat is treated as vacant under this Constitution.</w:t>
      </w:r>
    </w:p>
    <w:p w14:paraId="1AD02533" w14:textId="77777777" w:rsidR="00AF3D56" w:rsidRDefault="00000000">
      <w:pPr>
        <w:spacing w:before="200" w:after="60"/>
        <w:ind w:left="431"/>
      </w:pPr>
      <w:r>
        <w:rPr>
          <w:rFonts w:ascii="Courier New" w:eastAsia="Courier New" w:hAnsi="Courier New" w:cs="Courier New"/>
          <w:b/>
          <w:bCs/>
          <w:color w:val="2A2A2A"/>
          <w:sz w:val="18"/>
          <w:szCs w:val="18"/>
        </w:rPr>
        <w:t xml:space="preserve">§3.3  </w:t>
      </w:r>
      <w:r>
        <w:rPr>
          <w:rFonts w:ascii="Garamond" w:eastAsia="Garamond" w:hAnsi="Garamond" w:cs="Garamond"/>
          <w:i/>
          <w:iCs/>
          <w:color w:val="1B2A4A"/>
          <w:sz w:val="22"/>
          <w:szCs w:val="22"/>
        </w:rPr>
        <w:t>Electoral Districts</w:t>
      </w:r>
    </w:p>
    <w:p w14:paraId="3E2FD7C4" w14:textId="77777777" w:rsidR="00AF3D56" w:rsidRDefault="00000000">
      <w:pPr>
        <w:spacing w:after="120"/>
        <w:ind w:left="431"/>
        <w:jc w:val="both"/>
      </w:pPr>
      <w:r>
        <w:rPr>
          <w:rFonts w:ascii="Garamond" w:eastAsia="Garamond" w:hAnsi="Garamond" w:cs="Garamond"/>
          <w:color w:val="2A2A2A"/>
          <w:sz w:val="22"/>
          <w:szCs w:val="22"/>
        </w:rPr>
        <w:t>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14:paraId="4C75438F" w14:textId="77777777" w:rsidR="00AF3D56" w:rsidRDefault="00000000">
      <w:pPr>
        <w:spacing w:before="200" w:after="60"/>
        <w:ind w:left="431"/>
      </w:pPr>
      <w:r>
        <w:rPr>
          <w:rFonts w:ascii="Courier New" w:eastAsia="Courier New" w:hAnsi="Courier New" w:cs="Courier New"/>
          <w:b/>
          <w:bCs/>
          <w:color w:val="2A2A2A"/>
          <w:sz w:val="18"/>
          <w:szCs w:val="18"/>
        </w:rPr>
        <w:t xml:space="preserve">§3.4  </w:t>
      </w:r>
      <w:r>
        <w:rPr>
          <w:rFonts w:ascii="Garamond" w:eastAsia="Garamond" w:hAnsi="Garamond" w:cs="Garamond"/>
          <w:i/>
          <w:iCs/>
          <w:color w:val="1B2A4A"/>
          <w:sz w:val="22"/>
          <w:szCs w:val="22"/>
        </w:rPr>
        <w:t>Legislative Standards</w:t>
      </w:r>
    </w:p>
    <w:p w14:paraId="49AD981F" w14:textId="77777777" w:rsidR="00AF3D56" w:rsidRDefault="00000000">
      <w:pPr>
        <w:spacing w:after="120"/>
        <w:ind w:left="431"/>
        <w:jc w:val="both"/>
      </w:pPr>
      <w:r>
        <w:rPr>
          <w:rFonts w:ascii="Garamond" w:eastAsia="Garamond" w:hAnsi="Garamond" w:cs="Garamond"/>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The Legislature must establish a joint ethics committee with authority to </w:t>
      </w:r>
      <w:r>
        <w:rPr>
          <w:rFonts w:ascii="Garamond" w:eastAsia="Garamond" w:hAnsi="Garamond" w:cs="Garamond"/>
          <w:color w:val="2A2A2A"/>
          <w:sz w:val="22"/>
          <w:szCs w:val="22"/>
        </w:rPr>
        <w:lastRenderedPageBreak/>
        <w:t>sanction and refer members; removal requires 2/3 of the relevant chamber; under §9.1, the chamber may request an EM assessment to inform the proceeding.</w:t>
      </w:r>
    </w:p>
    <w:p w14:paraId="23B1A891" w14:textId="77777777" w:rsidR="00AF3D56" w:rsidRDefault="00000000">
      <w:pPr>
        <w:spacing w:before="200" w:after="60"/>
        <w:ind w:left="431"/>
      </w:pPr>
      <w:r>
        <w:rPr>
          <w:rFonts w:ascii="Courier New" w:eastAsia="Courier New" w:hAnsi="Courier New" w:cs="Courier New"/>
          <w:b/>
          <w:bCs/>
          <w:color w:val="2A2A2A"/>
          <w:sz w:val="18"/>
          <w:szCs w:val="18"/>
        </w:rPr>
        <w:t xml:space="preserve">§3.5  </w:t>
      </w:r>
      <w:r>
        <w:rPr>
          <w:rFonts w:ascii="Garamond" w:eastAsia="Garamond" w:hAnsi="Garamond" w:cs="Garamond"/>
          <w:i/>
          <w:iCs/>
          <w:color w:val="1B2A4A"/>
          <w:sz w:val="22"/>
          <w:szCs w:val="22"/>
        </w:rPr>
        <w:t>The Senate</w:t>
      </w:r>
    </w:p>
    <w:p w14:paraId="719C8B34" w14:textId="77777777" w:rsidR="00AF3D56" w:rsidRDefault="00000000">
      <w:pPr>
        <w:spacing w:after="120"/>
        <w:ind w:left="431"/>
        <w:jc w:val="both"/>
      </w:pPr>
      <w:r>
        <w:rPr>
          <w:rFonts w:ascii="Garamond" w:eastAsia="Garamond" w:hAnsi="Garamond" w:cs="Garamond"/>
          <w:color w:val="2A2A2A"/>
          <w:sz w:val="22"/>
          <w:szCs w:val="22"/>
        </w:rPr>
        <w:t>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Any senator who resigns, is expelled, or is removed by state recall at any point during a term shall be deemed to have served that full term for purposes of the consecutive-term limit.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law a recall mechanism for its senators; any such mechanism must operate as a punitive or political process, must not violate this Constitution, and must place the final recall decision with the State legislature or the State’s eligible voters; no recall may proceed on the decision of an executive officer, administrative body, or court alone; where a senator is recalled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14:paraId="1D954380" w14:textId="77777777" w:rsidR="00AF3D56" w:rsidRDefault="00000000">
      <w:pPr>
        <w:spacing w:before="200" w:after="60"/>
        <w:ind w:left="431"/>
      </w:pPr>
      <w:r>
        <w:rPr>
          <w:rFonts w:ascii="Courier New" w:eastAsia="Courier New" w:hAnsi="Courier New" w:cs="Courier New"/>
          <w:b/>
          <w:bCs/>
          <w:color w:val="2A2A2A"/>
          <w:sz w:val="18"/>
          <w:szCs w:val="18"/>
        </w:rPr>
        <w:t xml:space="preserve">§3.6  </w:t>
      </w:r>
      <w:r>
        <w:rPr>
          <w:rFonts w:ascii="Garamond" w:eastAsia="Garamond" w:hAnsi="Garamond" w:cs="Garamond"/>
          <w:i/>
          <w:iCs/>
          <w:color w:val="1B2A4A"/>
          <w:sz w:val="22"/>
          <w:szCs w:val="22"/>
        </w:rPr>
        <w:t>Treaty and Trade Agreement Ratification</w:t>
      </w:r>
    </w:p>
    <w:p w14:paraId="024B57DA" w14:textId="77777777" w:rsidR="00AF3D56" w:rsidRDefault="00000000">
      <w:pPr>
        <w:spacing w:after="120"/>
        <w:ind w:left="431"/>
        <w:jc w:val="both"/>
      </w:pPr>
      <w:r>
        <w:rPr>
          <w:rFonts w:ascii="Garamond" w:eastAsia="Garamond" w:hAnsi="Garamond" w:cs="Garamond"/>
          <w:color w:val="2A2A2A"/>
          <w:sz w:val="22"/>
          <w:szCs w:val="22"/>
        </w:rPr>
        <w:t>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The Senate must affirm withdrawal by 2/3 of its full seated membership within the period defined by statute, not to exceed 90 days; where the Senate does not affirm within that period, the notice is void and the Legat Consul must resubmit. Indigenous treaties under Article XVI may not be unilaterally withdrawn.</w:t>
      </w:r>
    </w:p>
    <w:p w14:paraId="1F75EB36" w14:textId="77777777" w:rsidR="00AF3D56" w:rsidRDefault="00000000">
      <w:pPr>
        <w:spacing w:before="200" w:after="60"/>
        <w:ind w:left="431"/>
      </w:pPr>
      <w:r>
        <w:rPr>
          <w:rFonts w:ascii="Courier New" w:eastAsia="Courier New" w:hAnsi="Courier New" w:cs="Courier New"/>
          <w:b/>
          <w:bCs/>
          <w:color w:val="2A2A2A"/>
          <w:sz w:val="18"/>
          <w:szCs w:val="18"/>
        </w:rPr>
        <w:t xml:space="preserve">§3.6.a  </w:t>
      </w:r>
      <w:r>
        <w:rPr>
          <w:rFonts w:ascii="Garamond" w:eastAsia="Garamond" w:hAnsi="Garamond" w:cs="Garamond"/>
          <w:i/>
          <w:iCs/>
          <w:color w:val="1B2A4A"/>
          <w:sz w:val="22"/>
          <w:szCs w:val="22"/>
        </w:rPr>
        <w:t>Classification and Dispute Resolution</w:t>
      </w:r>
    </w:p>
    <w:p w14:paraId="09CD461F" w14:textId="77777777" w:rsidR="00AF3D56" w:rsidRDefault="00000000">
      <w:pPr>
        <w:spacing w:after="120"/>
        <w:ind w:left="431"/>
        <w:jc w:val="both"/>
      </w:pPr>
      <w:r>
        <w:rPr>
          <w:rFonts w:ascii="Garamond" w:eastAsia="Garamond" w:hAnsi="Garamond" w:cs="Garamond"/>
          <w:color w:val="2A2A2A"/>
          <w:sz w:val="22"/>
          <w:szCs w:val="22"/>
        </w:rPr>
        <w:t>Where the Senate disputes the Legat Consul's classification of an international instrument as a trade agreement, the instrument is treated as a treaty pending resolution. Either party may seek expedited judicial determination of the classification; the applicable court and process are defined by statute.</w:t>
      </w:r>
    </w:p>
    <w:p w14:paraId="2307D307" w14:textId="77777777" w:rsidR="00AF3D56" w:rsidRDefault="00000000">
      <w:pPr>
        <w:spacing w:before="200" w:after="60"/>
        <w:ind w:left="431"/>
      </w:pPr>
      <w:r>
        <w:rPr>
          <w:rFonts w:ascii="Courier New" w:eastAsia="Courier New" w:hAnsi="Courier New" w:cs="Courier New"/>
          <w:b/>
          <w:bCs/>
          <w:color w:val="2A2A2A"/>
          <w:sz w:val="18"/>
          <w:szCs w:val="18"/>
        </w:rPr>
        <w:t xml:space="preserve">§3.7  </w:t>
      </w:r>
      <w:r>
        <w:rPr>
          <w:rFonts w:ascii="Garamond" w:eastAsia="Garamond" w:hAnsi="Garamond" w:cs="Garamond"/>
          <w:i/>
          <w:iCs/>
          <w:color w:val="1B2A4A"/>
          <w:sz w:val="22"/>
          <w:szCs w:val="22"/>
        </w:rPr>
        <w:t>Legislative Process and Passage</w:t>
      </w:r>
    </w:p>
    <w:p w14:paraId="7E377D1E" w14:textId="77777777" w:rsidR="00AF3D56" w:rsidRDefault="00000000">
      <w:pPr>
        <w:spacing w:after="120"/>
        <w:ind w:left="431"/>
        <w:jc w:val="both"/>
      </w:pPr>
      <w:r>
        <w:rPr>
          <w:rFonts w:ascii="Garamond" w:eastAsia="Garamond" w:hAnsi="Garamond" w:cs="Garamond"/>
          <w:color w:val="2A2A2A"/>
          <w:sz w:val="22"/>
          <w:szCs w:val="22"/>
        </w:rPr>
        <w:t>Bills pass by absolute majority of the full seated membership of both chambers. Higher thresholds apply to constitutional amendments, veto overrides, removal proceedings, and other matters specified in this constitution; where a higher threshold is specified for a vote of a single chamber, it applies to the full seated membership of that chamber.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14:paraId="31C7F657"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§3.8  </w:t>
      </w:r>
      <w:r>
        <w:rPr>
          <w:rFonts w:ascii="Garamond" w:eastAsia="Garamond" w:hAnsi="Garamond" w:cs="Garamond"/>
          <w:i/>
          <w:iCs/>
          <w:color w:val="1B2A4A"/>
          <w:sz w:val="22"/>
          <w:szCs w:val="22"/>
        </w:rPr>
        <w:t>Legislative Oversight</w:t>
      </w:r>
    </w:p>
    <w:p w14:paraId="45413DAD" w14:textId="77777777" w:rsidR="0088569E" w:rsidRDefault="00000000" w:rsidP="0088569E">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consistent with §1.22; it does not extend to criminal conduct or acts the LM has assessed as constitutional breaches.</w:t>
      </w:r>
    </w:p>
    <w:p w14:paraId="07D07263" w14:textId="0CB2DFD2" w:rsidR="00AF3D56" w:rsidRDefault="00000000" w:rsidP="0088569E">
      <w:pPr>
        <w:spacing w:after="120"/>
        <w:ind w:left="431"/>
        <w:jc w:val="both"/>
      </w:pPr>
      <w:r>
        <w:rPr>
          <w:rFonts w:ascii="Courier New" w:eastAsia="Courier New" w:hAnsi="Courier New" w:cs="Courier New"/>
          <w:b/>
          <w:bCs/>
          <w:color w:val="2A2A2A"/>
          <w:sz w:val="18"/>
          <w:szCs w:val="18"/>
        </w:rPr>
        <w:t xml:space="preserve">§3.9  </w:t>
      </w:r>
      <w:r>
        <w:rPr>
          <w:rFonts w:ascii="Garamond" w:eastAsia="Garamond" w:hAnsi="Garamond" w:cs="Garamond"/>
          <w:i/>
          <w:iCs/>
          <w:color w:val="1B2A4A"/>
          <w:sz w:val="22"/>
          <w:szCs w:val="22"/>
        </w:rPr>
        <w:t>Independent Statutory Agencies</w:t>
      </w:r>
    </w:p>
    <w:p w14:paraId="62C10486" w14:textId="77777777" w:rsidR="00AF3D56" w:rsidRDefault="00000000">
      <w:pPr>
        <w:spacing w:after="120"/>
        <w:ind w:left="431"/>
        <w:jc w:val="both"/>
      </w:pPr>
      <w:r>
        <w:rPr>
          <w:rFonts w:ascii="Garamond" w:eastAsia="Garamond" w:hAnsi="Garamond" w:cs="Garamond"/>
          <w:color w:val="2A2A2A"/>
          <w:sz w:val="22"/>
          <w:szCs w:val="22"/>
        </w:rPr>
        <w:t>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 Qualification standards established by statute for appointment to a constitutionally mandated independent agency must be facially neutral and may not be designed to exclude otherwise qualified candidates on the basis of policy view, party affiliation, or prior public criticism of the Legislature or either executive.</w:t>
      </w:r>
    </w:p>
    <w:p w14:paraId="21D76A3D" w14:textId="77777777" w:rsidR="00AF3D56" w:rsidRDefault="00000000">
      <w:pPr>
        <w:spacing w:before="200" w:after="60"/>
        <w:ind w:left="431"/>
      </w:pPr>
      <w:r>
        <w:rPr>
          <w:rFonts w:ascii="Courier New" w:eastAsia="Courier New" w:hAnsi="Courier New" w:cs="Courier New"/>
          <w:b/>
          <w:bCs/>
          <w:color w:val="2A2A2A"/>
          <w:sz w:val="18"/>
          <w:szCs w:val="18"/>
        </w:rPr>
        <w:t xml:space="preserve">§3.10  </w:t>
      </w:r>
      <w:r>
        <w:rPr>
          <w:rFonts w:ascii="Garamond" w:eastAsia="Garamond" w:hAnsi="Garamond" w:cs="Garamond"/>
          <w:i/>
          <w:iCs/>
          <w:color w:val="1B2A4A"/>
          <w:sz w:val="22"/>
          <w:szCs w:val="22"/>
        </w:rPr>
        <w:t>Impeachment</w:t>
      </w:r>
    </w:p>
    <w:p w14:paraId="60136CAB" w14:textId="77777777" w:rsidR="00AF3D56" w:rsidRDefault="00000000">
      <w:pPr>
        <w:spacing w:after="120"/>
        <w:ind w:left="431"/>
        <w:jc w:val="both"/>
      </w:pPr>
      <w:r>
        <w:rPr>
          <w:rFonts w:ascii="Garamond" w:eastAsia="Garamond" w:hAnsi="Garamond" w:cs="Garamond"/>
          <w:color w:val="2A2A2A"/>
          <w:sz w:val="22"/>
          <w:szCs w:val="22"/>
        </w:rPr>
        <w:t>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applicable succession and acting mechanisms under this constitution govern the exercise of any suspended functions.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14:paraId="643CB309" w14:textId="77777777" w:rsidR="00AF3D56" w:rsidRDefault="00000000">
      <w:pPr>
        <w:spacing w:before="200" w:after="60"/>
        <w:ind w:left="431"/>
      </w:pPr>
      <w:r>
        <w:rPr>
          <w:rFonts w:ascii="Courier New" w:eastAsia="Courier New" w:hAnsi="Courier New" w:cs="Courier New"/>
          <w:b/>
          <w:bCs/>
          <w:color w:val="2A2A2A"/>
          <w:sz w:val="18"/>
          <w:szCs w:val="18"/>
        </w:rPr>
        <w:t xml:space="preserve">§3.11  </w:t>
      </w:r>
      <w:r>
        <w:rPr>
          <w:rFonts w:ascii="Garamond" w:eastAsia="Garamond" w:hAnsi="Garamond" w:cs="Garamond"/>
          <w:i/>
          <w:iCs/>
          <w:color w:val="1B2A4A"/>
          <w:sz w:val="22"/>
          <w:szCs w:val="22"/>
        </w:rPr>
        <w:t>Inviolability of Electoral Mandates</w:t>
      </w:r>
    </w:p>
    <w:p w14:paraId="07AD5516" w14:textId="77777777" w:rsidR="00AF3D56" w:rsidRDefault="00000000">
      <w:pPr>
        <w:spacing w:after="120"/>
        <w:ind w:left="431"/>
        <w:jc w:val="both"/>
      </w:pPr>
      <w:r>
        <w:rPr>
          <w:rFonts w:ascii="Garamond" w:eastAsia="Garamond" w:hAnsi="Garamond" w:cs="Garamond"/>
          <w:color w:val="2A2A2A"/>
          <w:sz w:val="22"/>
          <w:szCs w:val="22"/>
        </w:rPr>
        <w:t>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§3.2 or §3.5; and impeachment and removal under §3.10. Any mechanism enabling the people themselves to shorten an elected mandate not already provided in this Constitution requires a constitutional amendment under Article XVII and may not be established by ordinary statute. Expulsion, recall, and removal under any provision of this Constitution are civil and political processes; they do not constitute criminal or civil legal proceedings and do not protect the removed officer from criminal prosecution or civil liability for underlying conduct.</w:t>
      </w:r>
    </w:p>
    <w:p w14:paraId="1FA5E74A" w14:textId="77777777" w:rsidR="00AF3D56" w:rsidRDefault="00000000">
      <w:pPr>
        <w:spacing w:before="200" w:after="60"/>
        <w:ind w:left="431"/>
      </w:pPr>
      <w:r>
        <w:rPr>
          <w:rFonts w:ascii="Courier New" w:eastAsia="Courier New" w:hAnsi="Courier New" w:cs="Courier New"/>
          <w:b/>
          <w:bCs/>
          <w:color w:val="2A2A2A"/>
          <w:sz w:val="18"/>
          <w:szCs w:val="18"/>
        </w:rPr>
        <w:t xml:space="preserve">§3.12  </w:t>
      </w:r>
      <w:r>
        <w:rPr>
          <w:rFonts w:ascii="Garamond" w:eastAsia="Garamond" w:hAnsi="Garamond" w:cs="Garamond"/>
          <w:i/>
          <w:iCs/>
          <w:color w:val="1B2A4A"/>
          <w:sz w:val="22"/>
          <w:szCs w:val="22"/>
        </w:rPr>
        <w:t>Disqualifying Offense</w:t>
      </w:r>
    </w:p>
    <w:p w14:paraId="3AA6C17F" w14:textId="77777777" w:rsidR="00AF3D56" w:rsidRDefault="00000000">
      <w:pPr>
        <w:spacing w:after="120"/>
        <w:ind w:left="431"/>
        <w:jc w:val="both"/>
      </w:pPr>
      <w:r>
        <w:rPr>
          <w:rFonts w:ascii="Garamond" w:eastAsia="Garamond" w:hAnsi="Garamond" w:cs="Garamond"/>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w:t>
      </w:r>
      <w:r>
        <w:rPr>
          <w:rFonts w:ascii="Garamond" w:eastAsia="Garamond" w:hAnsi="Garamond" w:cs="Garamond"/>
          <w:color w:val="2A2A2A"/>
          <w:sz w:val="22"/>
          <w:szCs w:val="22"/>
        </w:rPr>
        <w:lastRenderedPageBreak/>
        <w:t>under appeal at the time a relevant constitutional determination is made, the conviction stands for constitutional purposes unless and until it is reversed by a court of competent jurisdiction.</w:t>
      </w:r>
    </w:p>
    <w:p w14:paraId="2A5A0725" w14:textId="77777777" w:rsidR="00AF3D56" w:rsidRDefault="00000000">
      <w:pPr>
        <w:spacing w:before="200" w:after="60"/>
        <w:ind w:left="431"/>
      </w:pPr>
      <w:r>
        <w:rPr>
          <w:rFonts w:ascii="Courier New" w:eastAsia="Courier New" w:hAnsi="Courier New" w:cs="Courier New"/>
          <w:b/>
          <w:bCs/>
          <w:color w:val="2A2A2A"/>
          <w:sz w:val="18"/>
          <w:szCs w:val="18"/>
        </w:rPr>
        <w:t xml:space="preserve">§3.13  </w:t>
      </w:r>
      <w:r>
        <w:rPr>
          <w:rFonts w:ascii="Garamond" w:eastAsia="Garamond" w:hAnsi="Garamond" w:cs="Garamond"/>
          <w:i/>
          <w:iCs/>
          <w:color w:val="1B2A4A"/>
          <w:sz w:val="22"/>
          <w:szCs w:val="22"/>
        </w:rPr>
        <w:t>Continuity of Constitutionally Mandated Offices</w:t>
      </w:r>
    </w:p>
    <w:p w14:paraId="5AD0E065" w14:textId="77777777" w:rsidR="00AF3D56" w:rsidRDefault="00000000">
      <w:pPr>
        <w:spacing w:after="120"/>
        <w:ind w:left="431"/>
        <w:jc w:val="both"/>
      </w:pPr>
      <w:r>
        <w:rPr>
          <w:rFonts w:ascii="Garamond" w:eastAsia="Garamond" w:hAnsi="Garamond" w:cs="Garamond"/>
          <w:color w:val="2A2A2A"/>
          <w:sz w:val="22"/>
          <w:szCs w:val="22"/>
        </w:rPr>
        <w:t>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14:paraId="1A3D673F" w14:textId="77777777" w:rsidR="00AF3D56" w:rsidRDefault="00000000">
      <w:pPr>
        <w:spacing w:before="200" w:after="60"/>
        <w:ind w:left="431"/>
      </w:pPr>
      <w:r>
        <w:rPr>
          <w:rFonts w:ascii="Courier New" w:eastAsia="Courier New" w:hAnsi="Courier New" w:cs="Courier New"/>
          <w:b/>
          <w:bCs/>
          <w:color w:val="2A2A2A"/>
          <w:sz w:val="18"/>
          <w:szCs w:val="18"/>
        </w:rPr>
        <w:t xml:space="preserve">§3.14  </w:t>
      </w:r>
      <w:r>
        <w:rPr>
          <w:rFonts w:ascii="Garamond" w:eastAsia="Garamond" w:hAnsi="Garamond" w:cs="Garamond"/>
          <w:i/>
          <w:iCs/>
          <w:color w:val="1B2A4A"/>
          <w:sz w:val="22"/>
          <w:szCs w:val="22"/>
        </w:rPr>
        <w:t>Federal Legislative Competence</w:t>
      </w:r>
    </w:p>
    <w:p w14:paraId="40AEAC96" w14:textId="77777777" w:rsidR="00AF3D56" w:rsidRDefault="00000000">
      <w:pPr>
        <w:spacing w:after="120"/>
        <w:ind w:left="431"/>
        <w:jc w:val="both"/>
      </w:pPr>
      <w:r>
        <w:rPr>
          <w:rFonts w:ascii="Garamond" w:eastAsia="Garamond" w:hAnsi="Garamond" w:cs="Garamond"/>
          <w:color w:val="2A2A2A"/>
          <w:sz w:val="22"/>
          <w:szCs w:val="22"/>
        </w:rPr>
        <w:t>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14:paraId="081FC206" w14:textId="77777777" w:rsidR="00AF3D56" w:rsidRDefault="00000000">
      <w:pPr>
        <w:spacing w:before="200" w:after="60"/>
        <w:ind w:left="431"/>
      </w:pPr>
      <w:r>
        <w:rPr>
          <w:rFonts w:ascii="Courier New" w:eastAsia="Courier New" w:hAnsi="Courier New" w:cs="Courier New"/>
          <w:b/>
          <w:bCs/>
          <w:color w:val="2A2A2A"/>
          <w:sz w:val="18"/>
          <w:szCs w:val="18"/>
        </w:rPr>
        <w:t xml:space="preserve">§3.15  </w:t>
      </w:r>
      <w:r>
        <w:rPr>
          <w:rFonts w:ascii="Garamond" w:eastAsia="Garamond" w:hAnsi="Garamond" w:cs="Garamond"/>
          <w:i/>
          <w:iCs/>
          <w:color w:val="1B2A4A"/>
          <w:sz w:val="22"/>
          <w:szCs w:val="22"/>
        </w:rPr>
        <w:t>Delegation of Authority</w:t>
      </w:r>
    </w:p>
    <w:p w14:paraId="45631741" w14:textId="77777777" w:rsidR="00AF3D56" w:rsidRDefault="00000000">
      <w:pPr>
        <w:spacing w:after="120"/>
        <w:ind w:left="431"/>
        <w:jc w:val="both"/>
      </w:pPr>
      <w:r>
        <w:rPr>
          <w:rFonts w:ascii="Garamond" w:eastAsia="Garamond" w:hAnsi="Garamond" w:cs="Garamond"/>
          <w:color w:val="2A2A2A"/>
          <w:sz w:val="22"/>
          <w:szCs w:val="22"/>
        </w:rPr>
        <w:t>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14:paraId="057FDF80"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IV — The Judicial Architecture</w:t>
      </w:r>
    </w:p>
    <w:p w14:paraId="15ADDE89" w14:textId="77777777" w:rsidR="00AF3D56" w:rsidRDefault="00000000">
      <w:pPr>
        <w:spacing w:before="200" w:after="60"/>
        <w:ind w:left="431"/>
      </w:pPr>
      <w:r>
        <w:rPr>
          <w:rFonts w:ascii="Courier New" w:eastAsia="Courier New" w:hAnsi="Courier New" w:cs="Courier New"/>
          <w:b/>
          <w:bCs/>
          <w:color w:val="2A2A2A"/>
          <w:sz w:val="18"/>
          <w:szCs w:val="18"/>
        </w:rPr>
        <w:t xml:space="preserve">§4.1  </w:t>
      </w:r>
      <w:r>
        <w:rPr>
          <w:rFonts w:ascii="Garamond" w:eastAsia="Garamond" w:hAnsi="Garamond" w:cs="Garamond"/>
          <w:i/>
          <w:iCs/>
          <w:color w:val="1B2A4A"/>
          <w:sz w:val="22"/>
          <w:szCs w:val="22"/>
        </w:rPr>
        <w:t>Court Structure</w:t>
      </w:r>
    </w:p>
    <w:p w14:paraId="4A3EE79D" w14:textId="77777777" w:rsidR="00AF3D56" w:rsidRDefault="00000000">
      <w:pPr>
        <w:spacing w:after="120"/>
        <w:ind w:left="431"/>
        <w:jc w:val="both"/>
      </w:pPr>
      <w:r>
        <w:rPr>
          <w:rFonts w:ascii="Garamond" w:eastAsia="Garamond" w:hAnsi="Garamond" w:cs="Garamond"/>
          <w:color w:val="2A2A2A"/>
          <w:sz w:val="22"/>
          <w:szCs w:val="22"/>
        </w:rPr>
        <w:t>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14:paraId="6A485490" w14:textId="77777777" w:rsidR="00AF3D56" w:rsidRDefault="00000000">
      <w:pPr>
        <w:spacing w:before="200" w:after="60"/>
        <w:ind w:left="431"/>
      </w:pPr>
      <w:r>
        <w:rPr>
          <w:rFonts w:ascii="Courier New" w:eastAsia="Courier New" w:hAnsi="Courier New" w:cs="Courier New"/>
          <w:b/>
          <w:bCs/>
          <w:color w:val="2A2A2A"/>
          <w:sz w:val="18"/>
          <w:szCs w:val="18"/>
        </w:rPr>
        <w:t xml:space="preserve">§4.2  </w:t>
      </w:r>
      <w:r>
        <w:rPr>
          <w:rFonts w:ascii="Garamond" w:eastAsia="Garamond" w:hAnsi="Garamond" w:cs="Garamond"/>
          <w:i/>
          <w:iCs/>
          <w:color w:val="1B2A4A"/>
          <w:sz w:val="22"/>
          <w:szCs w:val="22"/>
        </w:rPr>
        <w:t>Judicial Appointments and Independence</w:t>
      </w:r>
    </w:p>
    <w:p w14:paraId="73E1130B" w14:textId="77777777" w:rsidR="00AF3D56" w:rsidRDefault="00000000">
      <w:pPr>
        <w:spacing w:after="120"/>
        <w:ind w:left="431"/>
        <w:jc w:val="both"/>
      </w:pPr>
      <w:r>
        <w:rPr>
          <w:rFonts w:ascii="Garamond" w:eastAsia="Garamond" w:hAnsi="Garamond" w:cs="Garamond"/>
          <w:color w:val="2A2A2A"/>
          <w:sz w:val="22"/>
          <w:szCs w:val="22"/>
        </w:rPr>
        <w:t>Any citizen meeting the eligibility criteria established in §9.4.b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 The Civic Consul nominates inferior court judges from the Judicial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14:paraId="1CA47B11" w14:textId="77777777" w:rsidR="00AF3D56" w:rsidRDefault="00000000">
      <w:pPr>
        <w:spacing w:before="200" w:after="60"/>
        <w:ind w:left="431"/>
      </w:pPr>
      <w:r>
        <w:rPr>
          <w:rFonts w:ascii="Courier New" w:eastAsia="Courier New" w:hAnsi="Courier New" w:cs="Courier New"/>
          <w:b/>
          <w:bCs/>
          <w:color w:val="2A2A2A"/>
          <w:sz w:val="18"/>
          <w:szCs w:val="18"/>
        </w:rPr>
        <w:t xml:space="preserve">§4.3  </w:t>
      </w:r>
      <w:r>
        <w:rPr>
          <w:rFonts w:ascii="Garamond" w:eastAsia="Garamond" w:hAnsi="Garamond" w:cs="Garamond"/>
          <w:i/>
          <w:iCs/>
          <w:color w:val="1B2A4A"/>
          <w:sz w:val="22"/>
          <w:szCs w:val="22"/>
        </w:rPr>
        <w:t>The Supreme Court</w:t>
      </w:r>
    </w:p>
    <w:p w14:paraId="6D120E92" w14:textId="77777777" w:rsidR="00AF3D56" w:rsidRDefault="00000000">
      <w:pPr>
        <w:spacing w:after="120"/>
        <w:ind w:left="431"/>
        <w:jc w:val="both"/>
      </w:pPr>
      <w:r>
        <w:rPr>
          <w:rFonts w:ascii="Garamond" w:eastAsia="Garamond" w:hAnsi="Garamond" w:cs="Garamond"/>
          <w:color w:val="2A2A2A"/>
          <w:sz w:val="22"/>
          <w:szCs w:val="22"/>
        </w:rPr>
        <w:t>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14:paraId="68C5D73F" w14:textId="77777777" w:rsidR="00AF3D56" w:rsidRDefault="00000000">
      <w:pPr>
        <w:spacing w:before="200" w:after="60"/>
        <w:ind w:left="431"/>
      </w:pPr>
      <w:r>
        <w:rPr>
          <w:rFonts w:ascii="Courier New" w:eastAsia="Courier New" w:hAnsi="Courier New" w:cs="Courier New"/>
          <w:b/>
          <w:bCs/>
          <w:color w:val="2A2A2A"/>
          <w:sz w:val="18"/>
          <w:szCs w:val="18"/>
        </w:rPr>
        <w:t xml:space="preserve">§4.3.b  </w:t>
      </w:r>
      <w:r>
        <w:rPr>
          <w:rFonts w:ascii="Garamond" w:eastAsia="Garamond" w:hAnsi="Garamond" w:cs="Garamond"/>
          <w:i/>
          <w:iCs/>
          <w:color w:val="1B2A4A"/>
          <w:sz w:val="22"/>
          <w:szCs w:val="22"/>
        </w:rPr>
        <w:t>Supreme Court Justice Removal</w:t>
      </w:r>
    </w:p>
    <w:p w14:paraId="08DF6E6C" w14:textId="77777777" w:rsidR="00AF3D56" w:rsidRDefault="00000000">
      <w:pPr>
        <w:spacing w:after="120"/>
        <w:ind w:left="431"/>
        <w:jc w:val="both"/>
      </w:pPr>
      <w:r>
        <w:rPr>
          <w:rFonts w:ascii="Garamond" w:eastAsia="Garamond" w:hAnsi="Garamond" w:cs="Garamond"/>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under §4.5; the SC must rule within 48 hours of petition. Judicial disagreement — however profound — does not constitute grounds for removal; the independence </w:t>
      </w:r>
      <w:r>
        <w:rPr>
          <w:rFonts w:ascii="Garamond" w:eastAsia="Garamond" w:hAnsi="Garamond" w:cs="Garamond"/>
          <w:color w:val="2A2A2A"/>
          <w:sz w:val="22"/>
          <w:szCs w:val="22"/>
        </w:rPr>
        <w:lastRenderedPageBreak/>
        <w:t>of SC judicial judgment is absolute and may not itself be invoked as grounds for removal. Upon removal, the most senior Appellate Court judge auto-designates as Temporary Associate Justice under §4.4 until the vacancy is filled.</w:t>
      </w:r>
    </w:p>
    <w:p w14:paraId="7E9BD33D" w14:textId="77777777" w:rsidR="00AF3D56" w:rsidRDefault="00000000">
      <w:pPr>
        <w:spacing w:before="200" w:after="60"/>
        <w:ind w:left="431"/>
      </w:pPr>
      <w:r>
        <w:rPr>
          <w:rFonts w:ascii="Courier New" w:eastAsia="Courier New" w:hAnsi="Courier New" w:cs="Courier New"/>
          <w:b/>
          <w:bCs/>
          <w:color w:val="2A2A2A"/>
          <w:sz w:val="18"/>
          <w:szCs w:val="18"/>
        </w:rPr>
        <w:t xml:space="preserve">§4.4  </w:t>
      </w:r>
      <w:r>
        <w:rPr>
          <w:rFonts w:ascii="Garamond" w:eastAsia="Garamond" w:hAnsi="Garamond" w:cs="Garamond"/>
          <w:i/>
          <w:iCs/>
          <w:color w:val="1B2A4A"/>
          <w:sz w:val="22"/>
          <w:szCs w:val="22"/>
        </w:rPr>
        <w:t>Supreme Court Selection</w:t>
      </w:r>
    </w:p>
    <w:p w14:paraId="3B03B93B" w14:textId="77777777" w:rsidR="00AF3D56" w:rsidRDefault="00000000">
      <w:pPr>
        <w:spacing w:after="120"/>
        <w:ind w:left="431"/>
        <w:jc w:val="both"/>
      </w:pPr>
      <w:r>
        <w:rPr>
          <w:rFonts w:ascii="Garamond" w:eastAsia="Garamond" w:hAnsi="Garamond" w:cs="Garamond"/>
          <w:color w:val="2A2A2A"/>
          <w:sz w:val="22"/>
          <w:szCs w:val="22"/>
        </w:rPr>
        <w:t>SC justices are nominated by the Civic Consul from the Judicial Pool maintained by the Elections Panel under §9.12 — any pool member meeting the statutory qualifications for Supreme Court appointment is eligible for SC nomination.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Judicial Pool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Upon any SC vacancy, the most senior Appellate Court judge by continuous service is automatically designated Temporary Associate Justice within 5 days — without nomination or confirmation — holding full voting rights until the vacancy is filled; where two or more Appellate Court judges have equal continuous service, the oldest by age is designated. The Civic Consul may not nominate a serving Temporary Associate Justice for the seat they are temporarily filling through the ordinary appointment process under this section; this bar does not affect placement on a public confirmation ballot under §4.4.a.</w:t>
      </w:r>
    </w:p>
    <w:p w14:paraId="18E5DFD5" w14:textId="77777777" w:rsidR="00AF3D56" w:rsidRDefault="00000000">
      <w:pPr>
        <w:spacing w:before="200" w:after="60"/>
        <w:ind w:left="431"/>
      </w:pPr>
      <w:r>
        <w:rPr>
          <w:rFonts w:ascii="Courier New" w:eastAsia="Courier New" w:hAnsi="Courier New" w:cs="Courier New"/>
          <w:b/>
          <w:bCs/>
          <w:color w:val="2A2A2A"/>
          <w:sz w:val="18"/>
          <w:szCs w:val="18"/>
        </w:rPr>
        <w:t xml:space="preserve">§4.4.a  </w:t>
      </w:r>
      <w:r>
        <w:rPr>
          <w:rFonts w:ascii="Garamond" w:eastAsia="Garamond" w:hAnsi="Garamond" w:cs="Garamond"/>
          <w:i/>
          <w:iCs/>
          <w:color w:val="1B2A4A"/>
          <w:sz w:val="22"/>
          <w:szCs w:val="22"/>
        </w:rPr>
        <w:t>Senate Bypass — Public Confirmation</w:t>
      </w:r>
    </w:p>
    <w:p w14:paraId="45C8A839" w14:textId="77777777" w:rsidR="00AF3D56" w:rsidRDefault="00000000">
      <w:pPr>
        <w:spacing w:after="120"/>
        <w:ind w:left="431"/>
        <w:jc w:val="both"/>
      </w:pPr>
      <w:r>
        <w:rPr>
          <w:rFonts w:ascii="Garamond" w:eastAsia="Garamond" w:hAnsi="Garamond" w:cs="Garamond"/>
          <w:color w:val="2A2A2A"/>
          <w:sz w:val="22"/>
          <w:szCs w:val="22"/>
        </w:rPr>
        <w:t>Where the LM has assessed and reported a Senate breach under §4.4, the Civic Consul may — with 2/3 Assembly consent — place the serving Temporary Associate Justice on the next federal electoral period ballot for public confirmation. Confirmation requires 60% of votes cast under §7.4;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Judicial Pool nominee before the public vote is certified ends the bypass immediately. The Temporary Associate Justice may advocate for their own confirmation once placed on the ballot under this section. A public confirmation vote under this section is not an election; §8.1’s electoral finance framework does not apply. Rules governing advocacy conduct, contributions, and disclosure during a public confirmation vote are defined by statute, which must maintain the foreign contribution prohibition and disclosure requirements consistent with the principles of §8.1.</w:t>
      </w:r>
    </w:p>
    <w:p w14:paraId="3DEA753D" w14:textId="77777777" w:rsidR="00AF3D56" w:rsidRDefault="00000000">
      <w:pPr>
        <w:spacing w:before="200" w:after="60"/>
        <w:ind w:left="431"/>
      </w:pPr>
      <w:r>
        <w:rPr>
          <w:rFonts w:ascii="Courier New" w:eastAsia="Courier New" w:hAnsi="Courier New" w:cs="Courier New"/>
          <w:b/>
          <w:bCs/>
          <w:color w:val="2A2A2A"/>
          <w:sz w:val="18"/>
          <w:szCs w:val="18"/>
        </w:rPr>
        <w:t xml:space="preserve">§4.5  </w:t>
      </w:r>
      <w:r>
        <w:rPr>
          <w:rFonts w:ascii="Garamond" w:eastAsia="Garamond" w:hAnsi="Garamond" w:cs="Garamond"/>
          <w:i/>
          <w:iCs/>
          <w:color w:val="1B2A4A"/>
          <w:sz w:val="22"/>
          <w:szCs w:val="22"/>
        </w:rPr>
        <w:t>Judicial Review and Scope</w:t>
      </w:r>
    </w:p>
    <w:p w14:paraId="66A07987" w14:textId="77777777" w:rsidR="00AF3D56" w:rsidRDefault="00000000">
      <w:pPr>
        <w:spacing w:after="120"/>
        <w:ind w:left="431"/>
        <w:jc w:val="both"/>
      </w:pPr>
      <w:r>
        <w:rPr>
          <w:rFonts w:ascii="Garamond" w:eastAsia="Garamond" w:hAnsi="Garamond" w:cs="Garamond"/>
          <w:color w:val="2A2A2A"/>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w:t>
      </w:r>
      <w:r>
        <w:rPr>
          <w:rFonts w:ascii="Garamond" w:eastAsia="Garamond" w:hAnsi="Garamond" w:cs="Garamond"/>
          <w:color w:val="2A2A2A"/>
          <w:sz w:val="22"/>
          <w:szCs w:val="22"/>
        </w:rPr>
        <w:lastRenderedPageBreak/>
        <w:t>disputes between States, between a State and the federal government, and constitutional challenges to federal statutes; disputes between the Legat Consul and Civic Consul concerning their respective constitutional domains under §2.1; constitutional challenges involving constitutionally independent institutions where their independence protections make inferior court review structurally inappropriate; emergency rights claims brought directly under §16.5; and disputes over the consistency of ratified amendments with entrenched provisions under §17.3.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 Where this Constitution establishes a deadline for an SC ruling, a majority of seated justices may file an extension request within that period specifying the reason and additional time required, published to the NRS; the maximum extension is defined by statute, not to exceed 30 days per extension. The SC may issue interim protective orders of limited scope in matters within its original jurisdiction where delay would cause irreparable harm pending its full ruling, published to the NRS. The SC’s failure to rule within any constitutionally required period produces no substantive constitutional outcome by operation of that failure; the petitioning party may reinitiate under any procedure applicable to the underlying matter.</w:t>
      </w:r>
    </w:p>
    <w:p w14:paraId="35631E1D" w14:textId="77777777" w:rsidR="00AF3D56" w:rsidRDefault="00000000">
      <w:pPr>
        <w:spacing w:before="200" w:after="60"/>
        <w:ind w:left="431"/>
      </w:pPr>
      <w:r>
        <w:rPr>
          <w:rFonts w:ascii="Courier New" w:eastAsia="Courier New" w:hAnsi="Courier New" w:cs="Courier New"/>
          <w:b/>
          <w:bCs/>
          <w:color w:val="2A2A2A"/>
          <w:sz w:val="18"/>
          <w:szCs w:val="18"/>
        </w:rPr>
        <w:t xml:space="preserve">§4.6  </w:t>
      </w:r>
      <w:r>
        <w:rPr>
          <w:rFonts w:ascii="Garamond" w:eastAsia="Garamond" w:hAnsi="Garamond" w:cs="Garamond"/>
          <w:i/>
          <w:iCs/>
          <w:color w:val="1B2A4A"/>
          <w:sz w:val="22"/>
          <w:szCs w:val="22"/>
        </w:rPr>
        <w:t>Judgment Recognition</w:t>
      </w:r>
    </w:p>
    <w:p w14:paraId="368711DB" w14:textId="77777777" w:rsidR="00AF3D56" w:rsidRDefault="00000000">
      <w:pPr>
        <w:spacing w:after="120"/>
        <w:ind w:left="431"/>
        <w:jc w:val="both"/>
      </w:pPr>
      <w:r>
        <w:rPr>
          <w:rFonts w:ascii="Garamond" w:eastAsia="Garamond" w:hAnsi="Garamond" w:cs="Garamond"/>
          <w:color w:val="2A2A2A"/>
          <w:sz w:val="22"/>
          <w:szCs w:val="22"/>
        </w:rPr>
        <w:t>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14:paraId="76C4D7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 — Citizenship and National Identity</w:t>
      </w:r>
    </w:p>
    <w:p w14:paraId="789793C2" w14:textId="77777777" w:rsidR="00AF3D56" w:rsidRDefault="00000000">
      <w:pPr>
        <w:spacing w:before="200" w:after="60"/>
        <w:ind w:left="431"/>
      </w:pPr>
      <w:r>
        <w:rPr>
          <w:rFonts w:ascii="Courier New" w:eastAsia="Courier New" w:hAnsi="Courier New" w:cs="Courier New"/>
          <w:b/>
          <w:bCs/>
          <w:color w:val="2A2A2A"/>
          <w:sz w:val="18"/>
          <w:szCs w:val="18"/>
        </w:rPr>
        <w:t xml:space="preserve">§5.1  </w:t>
      </w:r>
      <w:r>
        <w:rPr>
          <w:rFonts w:ascii="Garamond" w:eastAsia="Garamond" w:hAnsi="Garamond" w:cs="Garamond"/>
          <w:i/>
          <w:iCs/>
          <w:color w:val="1B2A4A"/>
          <w:sz w:val="22"/>
          <w:szCs w:val="22"/>
        </w:rPr>
        <w:t>Citizenship</w:t>
      </w:r>
    </w:p>
    <w:p w14:paraId="6A0C73D5" w14:textId="77777777" w:rsidR="00AF3D56" w:rsidRDefault="00000000">
      <w:pPr>
        <w:spacing w:after="120"/>
        <w:ind w:left="431"/>
        <w:jc w:val="both"/>
      </w:pPr>
      <w:r>
        <w:rPr>
          <w:rFonts w:ascii="Garamond" w:eastAsia="Garamond" w:hAnsi="Garamond" w:cs="Garamond"/>
          <w:color w:val="2A2A2A"/>
          <w:sz w:val="22"/>
          <w:szCs w:val="22"/>
        </w:rPr>
        <w:t>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14:paraId="7AC4A40B" w14:textId="77777777" w:rsidR="00AF3D56" w:rsidRDefault="00000000">
      <w:pPr>
        <w:spacing w:before="200" w:after="60"/>
        <w:ind w:left="431"/>
      </w:pPr>
      <w:r>
        <w:rPr>
          <w:rFonts w:ascii="Courier New" w:eastAsia="Courier New" w:hAnsi="Courier New" w:cs="Courier New"/>
          <w:b/>
          <w:bCs/>
          <w:color w:val="2A2A2A"/>
          <w:sz w:val="18"/>
          <w:szCs w:val="18"/>
        </w:rPr>
        <w:t xml:space="preserve">§5.2  </w:t>
      </w:r>
      <w:r>
        <w:rPr>
          <w:rFonts w:ascii="Garamond" w:eastAsia="Garamond" w:hAnsi="Garamond" w:cs="Garamond"/>
          <w:i/>
          <w:iCs/>
          <w:color w:val="1B2A4A"/>
          <w:sz w:val="22"/>
          <w:szCs w:val="22"/>
        </w:rPr>
        <w:t>Legal Resident Rights</w:t>
      </w:r>
    </w:p>
    <w:p w14:paraId="64D628E3" w14:textId="77777777" w:rsidR="00AF3D56" w:rsidRDefault="00000000">
      <w:pPr>
        <w:spacing w:after="120"/>
        <w:ind w:left="431"/>
        <w:jc w:val="both"/>
      </w:pPr>
      <w:r>
        <w:rPr>
          <w:rFonts w:ascii="Garamond" w:eastAsia="Garamond" w:hAnsi="Garamond" w:cs="Garamond"/>
          <w:color w:val="2A2A2A"/>
          <w:sz w:val="22"/>
          <w:szCs w:val="22"/>
        </w:rPr>
        <w:t>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14:paraId="06EB8614" w14:textId="77777777" w:rsidR="00AF3D56" w:rsidRDefault="00000000">
      <w:pPr>
        <w:spacing w:before="200" w:after="60"/>
        <w:ind w:left="431"/>
      </w:pPr>
      <w:r>
        <w:rPr>
          <w:rFonts w:ascii="Courier New" w:eastAsia="Courier New" w:hAnsi="Courier New" w:cs="Courier New"/>
          <w:b/>
          <w:bCs/>
          <w:color w:val="2A2A2A"/>
          <w:sz w:val="18"/>
          <w:szCs w:val="18"/>
        </w:rPr>
        <w:t xml:space="preserve">§5.3  </w:t>
      </w:r>
      <w:r>
        <w:rPr>
          <w:rFonts w:ascii="Garamond" w:eastAsia="Garamond" w:hAnsi="Garamond" w:cs="Garamond"/>
          <w:i/>
          <w:iCs/>
          <w:color w:val="1B2A4A"/>
          <w:sz w:val="22"/>
          <w:szCs w:val="22"/>
        </w:rPr>
        <w:t>Custodial Care of Citizen Children</w:t>
      </w:r>
    </w:p>
    <w:p w14:paraId="1483592D" w14:textId="77777777" w:rsidR="00AF3D56" w:rsidRDefault="00000000">
      <w:pPr>
        <w:spacing w:after="120"/>
        <w:ind w:left="431"/>
        <w:jc w:val="both"/>
      </w:pPr>
      <w:r>
        <w:rPr>
          <w:rFonts w:ascii="Garamond" w:eastAsia="Garamond" w:hAnsi="Garamond" w:cs="Garamond"/>
          <w:color w:val="2A2A2A"/>
          <w:sz w:val="22"/>
          <w:szCs w:val="22"/>
        </w:rPr>
        <w:t>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14:paraId="0E00D7C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 — Immigration and Residency</w:t>
      </w:r>
    </w:p>
    <w:p w14:paraId="51620119" w14:textId="77777777" w:rsidR="00AF3D56" w:rsidRDefault="00000000">
      <w:pPr>
        <w:spacing w:before="200" w:after="60"/>
        <w:ind w:left="431"/>
      </w:pPr>
      <w:r>
        <w:rPr>
          <w:rFonts w:ascii="Courier New" w:eastAsia="Courier New" w:hAnsi="Courier New" w:cs="Courier New"/>
          <w:b/>
          <w:bCs/>
          <w:color w:val="2A2A2A"/>
          <w:sz w:val="18"/>
          <w:szCs w:val="18"/>
        </w:rPr>
        <w:t xml:space="preserve">§6.1  </w:t>
      </w:r>
      <w:r>
        <w:rPr>
          <w:rFonts w:ascii="Garamond" w:eastAsia="Garamond" w:hAnsi="Garamond" w:cs="Garamond"/>
          <w:i/>
          <w:iCs/>
          <w:color w:val="1B2A4A"/>
          <w:sz w:val="22"/>
          <w:szCs w:val="22"/>
        </w:rPr>
        <w:t>The Two-Stage Immigration System</w:t>
      </w:r>
    </w:p>
    <w:p w14:paraId="37D0EAD5" w14:textId="77777777" w:rsidR="00AF3D56" w:rsidRDefault="00000000">
      <w:pPr>
        <w:spacing w:after="120"/>
        <w:ind w:left="431"/>
        <w:jc w:val="both"/>
      </w:pPr>
      <w:r>
        <w:rPr>
          <w:rFonts w:ascii="Garamond" w:eastAsia="Garamond" w:hAnsi="Garamond" w:cs="Garamond"/>
          <w:color w:val="2A2A2A"/>
          <w:sz w:val="22"/>
          <w:szCs w:val="22"/>
        </w:rPr>
        <w:t>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14:paraId="64CDC38B" w14:textId="77777777" w:rsidR="00AF3D56" w:rsidRDefault="00000000">
      <w:pPr>
        <w:spacing w:before="200" w:after="60"/>
        <w:ind w:left="431"/>
      </w:pPr>
      <w:r>
        <w:rPr>
          <w:rFonts w:ascii="Courier New" w:eastAsia="Courier New" w:hAnsi="Courier New" w:cs="Courier New"/>
          <w:b/>
          <w:bCs/>
          <w:color w:val="2A2A2A"/>
          <w:sz w:val="18"/>
          <w:szCs w:val="18"/>
        </w:rPr>
        <w:t xml:space="preserve">§6.2  </w:t>
      </w:r>
      <w:r>
        <w:rPr>
          <w:rFonts w:ascii="Garamond" w:eastAsia="Garamond" w:hAnsi="Garamond" w:cs="Garamond"/>
          <w:i/>
          <w:iCs/>
          <w:color w:val="1B2A4A"/>
          <w:sz w:val="22"/>
          <w:szCs w:val="22"/>
        </w:rPr>
        <w:t>Enforcement, Removal, and Appeals</w:t>
      </w:r>
    </w:p>
    <w:p w14:paraId="44D3A75A" w14:textId="77777777" w:rsidR="00AF3D56" w:rsidRDefault="00000000">
      <w:pPr>
        <w:spacing w:after="120"/>
        <w:ind w:left="431"/>
        <w:jc w:val="both"/>
      </w:pPr>
      <w:r>
        <w:rPr>
          <w:rFonts w:ascii="Garamond" w:eastAsia="Garamond" w:hAnsi="Garamond" w:cs="Garamond"/>
          <w:color w:val="2A2A2A"/>
          <w:sz w:val="22"/>
          <w:szCs w:val="22"/>
        </w:rPr>
        <w:t>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14:paraId="06C80B34" w14:textId="77777777" w:rsidR="00AF3D56" w:rsidRDefault="00000000">
      <w:pPr>
        <w:spacing w:before="200" w:after="60"/>
        <w:ind w:left="431"/>
      </w:pPr>
      <w:r>
        <w:rPr>
          <w:rFonts w:ascii="Courier New" w:eastAsia="Courier New" w:hAnsi="Courier New" w:cs="Courier New"/>
          <w:b/>
          <w:bCs/>
          <w:color w:val="2A2A2A"/>
          <w:sz w:val="18"/>
          <w:szCs w:val="18"/>
        </w:rPr>
        <w:t xml:space="preserve">§6.3  </w:t>
      </w:r>
      <w:r>
        <w:rPr>
          <w:rFonts w:ascii="Garamond" w:eastAsia="Garamond" w:hAnsi="Garamond" w:cs="Garamond"/>
          <w:i/>
          <w:iCs/>
          <w:color w:val="1B2A4A"/>
          <w:sz w:val="22"/>
          <w:szCs w:val="22"/>
        </w:rPr>
        <w:t>Asylum and Protection</w:t>
      </w:r>
    </w:p>
    <w:p w14:paraId="436285C2" w14:textId="77777777" w:rsidR="00AF3D56" w:rsidRDefault="00000000">
      <w:pPr>
        <w:spacing w:after="120"/>
        <w:ind w:left="431"/>
        <w:jc w:val="both"/>
      </w:pPr>
      <w:r>
        <w:rPr>
          <w:rFonts w:ascii="Garamond" w:eastAsia="Garamond" w:hAnsi="Garamond" w:cs="Garamond"/>
          <w:color w:val="2A2A2A"/>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 An unaccompanied minor arriving in the Republic is an </w:t>
      </w:r>
      <w:r>
        <w:rPr>
          <w:rFonts w:ascii="Garamond" w:eastAsia="Garamond" w:hAnsi="Garamond" w:cs="Garamond"/>
          <w:color w:val="2A2A2A"/>
          <w:sz w:val="22"/>
          <w:szCs w:val="22"/>
        </w:rPr>
        <w:lastRenderedPageBreak/>
        <w:t>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14:paraId="35B24256" w14:textId="77777777" w:rsidR="00AF3D56" w:rsidRDefault="00000000">
      <w:pPr>
        <w:spacing w:before="200" w:after="60"/>
        <w:ind w:left="431"/>
      </w:pPr>
      <w:r>
        <w:rPr>
          <w:rFonts w:ascii="Courier New" w:eastAsia="Courier New" w:hAnsi="Courier New" w:cs="Courier New"/>
          <w:b/>
          <w:bCs/>
          <w:color w:val="2A2A2A"/>
          <w:sz w:val="18"/>
          <w:szCs w:val="18"/>
        </w:rPr>
        <w:t xml:space="preserve">§6.3.b  </w:t>
      </w:r>
      <w:r>
        <w:rPr>
          <w:rFonts w:ascii="Garamond" w:eastAsia="Garamond" w:hAnsi="Garamond" w:cs="Garamond"/>
          <w:i/>
          <w:iCs/>
          <w:color w:val="1B2A4A"/>
          <w:sz w:val="22"/>
          <w:szCs w:val="22"/>
        </w:rPr>
        <w:t>Unresolvable and Security Cases</w:t>
      </w:r>
    </w:p>
    <w:p w14:paraId="12A7B570" w14:textId="77777777" w:rsidR="00AF3D56" w:rsidRDefault="00000000">
      <w:pPr>
        <w:spacing w:after="120"/>
        <w:ind w:left="431"/>
        <w:jc w:val="both"/>
      </w:pPr>
      <w:r>
        <w:rPr>
          <w:rFonts w:ascii="Garamond" w:eastAsia="Garamond" w:hAnsi="Garamond" w:cs="Garamond"/>
          <w:color w:val="2A2A2A"/>
          <w:sz w:val="22"/>
          <w:szCs w:val="22"/>
        </w:rPr>
        <w:t>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judicial review by the court with active jurisdiction over the case.</w:t>
      </w:r>
    </w:p>
    <w:p w14:paraId="46E8352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 — Elections</w:t>
      </w:r>
    </w:p>
    <w:p w14:paraId="554BB3C4"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The Right to Vote</w:t>
      </w:r>
    </w:p>
    <w:p w14:paraId="543C528C" w14:textId="77777777" w:rsidR="00AF3D56" w:rsidRDefault="00000000">
      <w:pPr>
        <w:spacing w:after="120"/>
        <w:ind w:left="431"/>
        <w:jc w:val="both"/>
      </w:pPr>
      <w:r>
        <w:rPr>
          <w:rFonts w:ascii="Garamond" w:eastAsia="Garamond" w:hAnsi="Garamond" w:cs="Garamond"/>
          <w:color w:val="2A2A2A"/>
          <w:sz w:val="22"/>
          <w:szCs w:val="22"/>
        </w:rPr>
        <w:t>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14:paraId="2937B7BA" w14:textId="77777777" w:rsidR="00AF3D56" w:rsidRDefault="00000000">
      <w:pPr>
        <w:spacing w:before="200" w:after="60"/>
        <w:ind w:left="431"/>
      </w:pPr>
      <w:r>
        <w:rPr>
          <w:rFonts w:ascii="Courier New" w:eastAsia="Courier New" w:hAnsi="Courier New" w:cs="Courier New"/>
          <w:b/>
          <w:bCs/>
          <w:color w:val="2A2A2A"/>
          <w:sz w:val="18"/>
          <w:szCs w:val="18"/>
        </w:rPr>
        <w:t xml:space="preserve">§7.2  </w:t>
      </w:r>
      <w:r>
        <w:rPr>
          <w:rFonts w:ascii="Garamond" w:eastAsia="Garamond" w:hAnsi="Garamond" w:cs="Garamond"/>
          <w:i/>
          <w:iCs/>
          <w:color w:val="1B2A4A"/>
          <w:sz w:val="22"/>
          <w:szCs w:val="22"/>
        </w:rPr>
        <w:t>Consular Election System</w:t>
      </w:r>
    </w:p>
    <w:p w14:paraId="59901F81" w14:textId="77777777" w:rsidR="00AF3D56" w:rsidRDefault="00000000">
      <w:pPr>
        <w:spacing w:after="120"/>
        <w:ind w:left="431"/>
        <w:jc w:val="both"/>
      </w:pPr>
      <w:r>
        <w:rPr>
          <w:rFonts w:ascii="Garamond" w:eastAsia="Garamond" w:hAnsi="Garamond" w:cs="Garamond"/>
          <w:color w:val="2A2A2A"/>
          <w:sz w:val="22"/>
          <w:szCs w:val="22"/>
        </w:rPr>
        <w:t>The Legat Consul is elected through two concurrent requirements: a national RCV majority and a State plurality qualification. A candidate wins outright by satisfying both. Where a candidate's national RCV majority reaches or exceeds 60% of votes cast,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 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14:paraId="091575E7" w14:textId="77777777" w:rsidR="00AF3D56" w:rsidRDefault="00000000">
      <w:pPr>
        <w:spacing w:before="200" w:after="60"/>
        <w:ind w:left="431"/>
      </w:pPr>
      <w:r>
        <w:rPr>
          <w:rFonts w:ascii="Courier New" w:eastAsia="Courier New" w:hAnsi="Courier New" w:cs="Courier New"/>
          <w:b/>
          <w:bCs/>
          <w:color w:val="2A2A2A"/>
          <w:sz w:val="18"/>
          <w:szCs w:val="18"/>
        </w:rPr>
        <w:t xml:space="preserve">§7.3  </w:t>
      </w:r>
      <w:r>
        <w:rPr>
          <w:rFonts w:ascii="Garamond" w:eastAsia="Garamond" w:hAnsi="Garamond" w:cs="Garamond"/>
          <w:i/>
          <w:iCs/>
          <w:color w:val="1B2A4A"/>
          <w:sz w:val="22"/>
          <w:szCs w:val="22"/>
        </w:rPr>
        <w:t>Federal Elections</w:t>
      </w:r>
    </w:p>
    <w:p w14:paraId="1758D0D3" w14:textId="77777777" w:rsidR="00AF3D56" w:rsidRDefault="00000000">
      <w:pPr>
        <w:spacing w:after="120"/>
        <w:ind w:left="431"/>
        <w:jc w:val="both"/>
      </w:pPr>
      <w:r>
        <w:rPr>
          <w:rFonts w:ascii="Garamond" w:eastAsia="Garamond" w:hAnsi="Garamond" w:cs="Garamond"/>
          <w:color w:val="2A2A2A"/>
          <w:sz w:val="22"/>
          <w:szCs w:val="22"/>
        </w:rPr>
        <w:t>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14:paraId="454FE114" w14:textId="77777777" w:rsidR="00AF3D56" w:rsidRDefault="00000000">
      <w:pPr>
        <w:spacing w:before="200" w:after="60"/>
        <w:ind w:left="431"/>
      </w:pPr>
      <w:r>
        <w:rPr>
          <w:rFonts w:ascii="Courier New" w:eastAsia="Courier New" w:hAnsi="Courier New" w:cs="Courier New"/>
          <w:b/>
          <w:bCs/>
          <w:color w:val="2A2A2A"/>
          <w:sz w:val="18"/>
          <w:szCs w:val="18"/>
        </w:rPr>
        <w:t xml:space="preserve">§7.3.a  </w:t>
      </w:r>
      <w:r>
        <w:rPr>
          <w:rFonts w:ascii="Garamond" w:eastAsia="Garamond" w:hAnsi="Garamond" w:cs="Garamond"/>
          <w:i/>
          <w:iCs/>
          <w:color w:val="1B2A4A"/>
          <w:sz w:val="22"/>
          <w:szCs w:val="22"/>
        </w:rPr>
        <w:t>Special Elections and Postponements</w:t>
      </w:r>
    </w:p>
    <w:p w14:paraId="247A9F79" w14:textId="77777777" w:rsidR="00AF3D56" w:rsidRDefault="00000000">
      <w:pPr>
        <w:spacing w:after="120"/>
        <w:ind w:left="431"/>
        <w:jc w:val="both"/>
      </w:pPr>
      <w:r>
        <w:rPr>
          <w:rFonts w:ascii="Garamond" w:eastAsia="Garamond" w:hAnsi="Garamond" w:cs="Garamond"/>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w:t>
      </w:r>
      <w:r>
        <w:rPr>
          <w:rFonts w:ascii="Garamond" w:eastAsia="Garamond" w:hAnsi="Garamond" w:cs="Garamond"/>
          <w:color w:val="2A2A2A"/>
          <w:sz w:val="22"/>
          <w:szCs w:val="22"/>
        </w:rPr>
        <w:lastRenderedPageBreak/>
        <w:t>publishing the determination to the NRS; the mandates of sitting members extend automatically for that period only. The Elections Panel publishes a finding when conditions have normalized sufficiently for elections to proceed; elections must be held within 30 days of that publication. Either chamber may petition the SC seeking expedited judicial review of the Elections Panel’s finding; the applicable court and expedited process are defined by statute. No further postponement may be granted without a new Elections Panel finding of impossibility and a new 2/3 legislative determination.</w:t>
      </w:r>
    </w:p>
    <w:p w14:paraId="0F44AB5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VIII — Electoral Finance and Campaign Conduct</w:t>
      </w:r>
    </w:p>
    <w:p w14:paraId="586D0B68" w14:textId="77777777" w:rsidR="00AF3D56" w:rsidRDefault="00000000">
      <w:pPr>
        <w:spacing w:before="200" w:after="60"/>
        <w:ind w:left="431"/>
      </w:pPr>
      <w:r>
        <w:rPr>
          <w:rFonts w:ascii="Courier New" w:eastAsia="Courier New" w:hAnsi="Courier New" w:cs="Courier New"/>
          <w:b/>
          <w:bCs/>
          <w:color w:val="2A2A2A"/>
          <w:sz w:val="18"/>
          <w:szCs w:val="18"/>
        </w:rPr>
        <w:t xml:space="preserve">§8.1  </w:t>
      </w:r>
      <w:r>
        <w:rPr>
          <w:rFonts w:ascii="Garamond" w:eastAsia="Garamond" w:hAnsi="Garamond" w:cs="Garamond"/>
          <w:i/>
          <w:iCs/>
          <w:color w:val="1B2A4A"/>
          <w:sz w:val="22"/>
          <w:szCs w:val="22"/>
        </w:rPr>
        <w:t>Electoral Finance</w:t>
      </w:r>
    </w:p>
    <w:p w14:paraId="6A5B6B79" w14:textId="77777777" w:rsidR="00AF3D56" w:rsidRDefault="00000000">
      <w:pPr>
        <w:spacing w:after="120"/>
        <w:ind w:left="431"/>
        <w:jc w:val="both"/>
      </w:pPr>
      <w:r>
        <w:rPr>
          <w:rFonts w:ascii="Garamond" w:eastAsia="Garamond" w:hAnsi="Garamond" w:cs="Garamond"/>
          <w:color w:val="2A2A2A"/>
          <w:sz w:val="22"/>
          <w:szCs w:val="22"/>
        </w:rPr>
        <w:t>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14:paraId="5036E0DD" w14:textId="77777777" w:rsidR="00AF3D56" w:rsidRDefault="00000000">
      <w:pPr>
        <w:spacing w:before="200" w:after="60"/>
        <w:ind w:left="431"/>
      </w:pPr>
      <w:r>
        <w:rPr>
          <w:rFonts w:ascii="Courier New" w:eastAsia="Courier New" w:hAnsi="Courier New" w:cs="Courier New"/>
          <w:b/>
          <w:bCs/>
          <w:color w:val="2A2A2A"/>
          <w:sz w:val="18"/>
          <w:szCs w:val="18"/>
        </w:rPr>
        <w:t xml:space="preserve">§8.2  </w:t>
      </w:r>
      <w:r>
        <w:rPr>
          <w:rFonts w:ascii="Garamond" w:eastAsia="Garamond" w:hAnsi="Garamond" w:cs="Garamond"/>
          <w:i/>
          <w:iCs/>
          <w:color w:val="1B2A4A"/>
          <w:sz w:val="22"/>
          <w:szCs w:val="22"/>
        </w:rPr>
        <w:t>Campaign Conduct</w:t>
      </w:r>
    </w:p>
    <w:p w14:paraId="645D6B4E" w14:textId="7E70F6F4" w:rsidR="00AF3D56" w:rsidRDefault="00000000">
      <w:pPr>
        <w:spacing w:after="120"/>
        <w:ind w:left="431"/>
        <w:jc w:val="both"/>
      </w:pPr>
      <w:r>
        <w:rPr>
          <w:rFonts w:ascii="Garamond" w:eastAsia="Garamond" w:hAnsi="Garamond" w:cs="Garamond"/>
          <w:color w:val="2A2A2A"/>
          <w:sz w:val="22"/>
          <w:szCs w:val="22"/>
        </w:rPr>
        <w:t>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This constitution does not bar private civil litigation arising from campaign communications.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14:paraId="6EEA7430" w14:textId="77777777" w:rsidR="00AF3D56" w:rsidRDefault="00000000">
      <w:pPr>
        <w:spacing w:before="200" w:after="60"/>
        <w:ind w:left="431"/>
      </w:pPr>
      <w:r>
        <w:rPr>
          <w:rFonts w:ascii="Courier New" w:eastAsia="Courier New" w:hAnsi="Courier New" w:cs="Courier New"/>
          <w:b/>
          <w:bCs/>
          <w:color w:val="2A2A2A"/>
          <w:sz w:val="18"/>
          <w:szCs w:val="18"/>
        </w:rPr>
        <w:t xml:space="preserve">§8.3  </w:t>
      </w:r>
      <w:r>
        <w:rPr>
          <w:rFonts w:ascii="Garamond" w:eastAsia="Garamond" w:hAnsi="Garamond" w:cs="Garamond"/>
          <w:i/>
          <w:iCs/>
          <w:color w:val="1B2A4A"/>
          <w:sz w:val="22"/>
          <w:szCs w:val="22"/>
        </w:rPr>
        <w:t>Public Spectrum Access for Campaigns</w:t>
      </w:r>
    </w:p>
    <w:p w14:paraId="33784202"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14:paraId="0261D33F" w14:textId="30F2C8E5" w:rsidR="00F645C1" w:rsidRDefault="00F645C1" w:rsidP="00F645C1">
      <w:pPr>
        <w:spacing w:before="200" w:after="60"/>
        <w:ind w:left="431"/>
      </w:pPr>
      <w:r>
        <w:rPr>
          <w:rFonts w:ascii="Courier New" w:eastAsia="Courier New" w:hAnsi="Courier New" w:cs="Courier New"/>
          <w:b/>
          <w:bCs/>
          <w:color w:val="2A2A2A"/>
          <w:sz w:val="18"/>
          <w:szCs w:val="18"/>
        </w:rPr>
        <w:t xml:space="preserve">§8.4  </w:t>
      </w:r>
      <w:r>
        <w:rPr>
          <w:rFonts w:ascii="Garamond" w:eastAsia="Garamond" w:hAnsi="Garamond" w:cs="Garamond"/>
          <w:i/>
          <w:iCs/>
          <w:color w:val="1B2A4A"/>
          <w:sz w:val="22"/>
          <w:szCs w:val="22"/>
        </w:rPr>
        <w:t>Public Campaign Financing</w:t>
      </w:r>
    </w:p>
    <w:p w14:paraId="76F049D1" w14:textId="2C6B9380" w:rsidR="00F645C1" w:rsidRDefault="00F645C1">
      <w:pPr>
        <w:spacing w:after="120"/>
        <w:ind w:left="431"/>
        <w:jc w:val="both"/>
      </w:pPr>
      <w:r>
        <w:rPr>
          <w:rFonts w:ascii="Garamond" w:eastAsia="Garamond" w:hAnsi="Garamond" w:cs="Garamond"/>
          <w:color w:val="2A2A2A"/>
          <w:sz w:val="22"/>
          <w:szCs w:val="22"/>
        </w:rPr>
        <w:t>The Legislature shall by statute establish a public campaign financing system available to all qualified candidates for federal office on equal terms. The system must provide a genuine alternative to private fundraising; no candidate may be structurally disadvantaged by choosing to participate. The Elections Panel administers the system and publishes annual compliance findings to the NRS.</w:t>
      </w:r>
    </w:p>
    <w:p w14:paraId="2789283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IX — The Monitors</w:t>
      </w:r>
    </w:p>
    <w:p w14:paraId="53D85F28" w14:textId="77777777" w:rsidR="00AF3D56" w:rsidRDefault="00000000">
      <w:pPr>
        <w:spacing w:before="200" w:after="60"/>
        <w:ind w:left="431"/>
      </w:pPr>
      <w:r>
        <w:rPr>
          <w:rFonts w:ascii="Courier New" w:eastAsia="Courier New" w:hAnsi="Courier New" w:cs="Courier New"/>
          <w:b/>
          <w:bCs/>
          <w:color w:val="2A2A2A"/>
          <w:sz w:val="18"/>
          <w:szCs w:val="18"/>
        </w:rPr>
        <w:t xml:space="preserve">§9.1  </w:t>
      </w:r>
      <w:r>
        <w:rPr>
          <w:rFonts w:ascii="Garamond" w:eastAsia="Garamond" w:hAnsi="Garamond" w:cs="Garamond"/>
          <w:i/>
          <w:iCs/>
          <w:color w:val="1B2A4A"/>
          <w:sz w:val="22"/>
          <w:szCs w:val="22"/>
        </w:rPr>
        <w:t>Three Monitors</w:t>
      </w:r>
    </w:p>
    <w:p w14:paraId="2EC75C92" w14:textId="77777777" w:rsidR="00AF3D56" w:rsidRDefault="00000000">
      <w:pPr>
        <w:spacing w:after="120"/>
        <w:ind w:left="431"/>
        <w:jc w:val="both"/>
      </w:pPr>
      <w:r>
        <w:rPr>
          <w:rFonts w:ascii="Garamond" w:eastAsia="Garamond" w:hAnsi="Garamond" w:cs="Garamond"/>
          <w:color w:val="2A2A2A"/>
          <w:sz w:val="22"/>
          <w:szCs w:val="22"/>
        </w:rPr>
        <w:t>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14:paraId="31371B1E" w14:textId="77777777" w:rsidR="00AF3D56" w:rsidRDefault="00000000">
      <w:pPr>
        <w:spacing w:before="200" w:after="60"/>
        <w:ind w:left="431"/>
      </w:pPr>
      <w:r>
        <w:rPr>
          <w:rFonts w:ascii="Courier New" w:eastAsia="Courier New" w:hAnsi="Courier New" w:cs="Courier New"/>
          <w:b/>
          <w:bCs/>
          <w:color w:val="2A2A2A"/>
          <w:sz w:val="18"/>
          <w:szCs w:val="18"/>
        </w:rPr>
        <w:t xml:space="preserve">§9.1.a  </w:t>
      </w:r>
      <w:r>
        <w:rPr>
          <w:rFonts w:ascii="Garamond" w:eastAsia="Garamond" w:hAnsi="Garamond" w:cs="Garamond"/>
          <w:i/>
          <w:iCs/>
          <w:color w:val="1B2A4A"/>
          <w:sz w:val="22"/>
          <w:szCs w:val="22"/>
        </w:rPr>
        <w:t>The Legislative Monitor</w:t>
      </w:r>
    </w:p>
    <w:p w14:paraId="2A180BB7" w14:textId="77777777" w:rsidR="00AF3D56" w:rsidRDefault="00000000">
      <w:pPr>
        <w:spacing w:after="120"/>
        <w:ind w:left="431"/>
        <w:jc w:val="both"/>
      </w:pPr>
      <w:r>
        <w:rPr>
          <w:rFonts w:ascii="Garamond" w:eastAsia="Garamond" w:hAnsi="Garamond" w:cs="Garamond"/>
          <w:color w:val="2A2A2A"/>
          <w:sz w:val="22"/>
          <w:szCs w:val="22"/>
        </w:rPr>
        <w:t>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14:paraId="77863FB2" w14:textId="77777777" w:rsidR="00AF3D56" w:rsidRDefault="00000000">
      <w:pPr>
        <w:spacing w:before="200" w:after="60"/>
        <w:ind w:left="431"/>
      </w:pPr>
      <w:r>
        <w:rPr>
          <w:rFonts w:ascii="Courier New" w:eastAsia="Courier New" w:hAnsi="Courier New" w:cs="Courier New"/>
          <w:b/>
          <w:bCs/>
          <w:color w:val="2A2A2A"/>
          <w:sz w:val="18"/>
          <w:szCs w:val="18"/>
        </w:rPr>
        <w:t xml:space="preserve">§9.1.b  </w:t>
      </w:r>
      <w:r>
        <w:rPr>
          <w:rFonts w:ascii="Garamond" w:eastAsia="Garamond" w:hAnsi="Garamond" w:cs="Garamond"/>
          <w:i/>
          <w:iCs/>
          <w:color w:val="1B2A4A"/>
          <w:sz w:val="22"/>
          <w:szCs w:val="22"/>
        </w:rPr>
        <w:t>The Executive Monitor</w:t>
      </w:r>
    </w:p>
    <w:p w14:paraId="74469628" w14:textId="77777777" w:rsidR="00AF3D56" w:rsidRDefault="00000000">
      <w:pPr>
        <w:spacing w:after="120"/>
        <w:ind w:left="431"/>
        <w:jc w:val="both"/>
      </w:pPr>
      <w:r>
        <w:rPr>
          <w:rFonts w:ascii="Garamond" w:eastAsia="Garamond" w:hAnsi="Garamond" w:cs="Garamond"/>
          <w:color w:val="2A2A2A"/>
          <w:sz w:val="22"/>
          <w:szCs w:val="22"/>
        </w:rPr>
        <w:t>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14:paraId="52FB7E88" w14:textId="77777777" w:rsidR="00AF3D56" w:rsidRDefault="00000000">
      <w:pPr>
        <w:spacing w:before="200" w:after="60"/>
        <w:ind w:left="431"/>
      </w:pPr>
      <w:r>
        <w:rPr>
          <w:rFonts w:ascii="Courier New" w:eastAsia="Courier New" w:hAnsi="Courier New" w:cs="Courier New"/>
          <w:b/>
          <w:bCs/>
          <w:color w:val="2A2A2A"/>
          <w:sz w:val="18"/>
          <w:szCs w:val="18"/>
        </w:rPr>
        <w:t xml:space="preserve">§9.1.c  </w:t>
      </w:r>
      <w:r>
        <w:rPr>
          <w:rFonts w:ascii="Garamond" w:eastAsia="Garamond" w:hAnsi="Garamond" w:cs="Garamond"/>
          <w:i/>
          <w:iCs/>
          <w:color w:val="1B2A4A"/>
          <w:sz w:val="22"/>
          <w:szCs w:val="22"/>
        </w:rPr>
        <w:t>The Judicial Monitor</w:t>
      </w:r>
    </w:p>
    <w:p w14:paraId="153206F1" w14:textId="77777777" w:rsidR="00AF3D56" w:rsidRDefault="00000000">
      <w:pPr>
        <w:spacing w:after="120"/>
        <w:ind w:left="431"/>
        <w:jc w:val="both"/>
      </w:pPr>
      <w:r>
        <w:rPr>
          <w:rFonts w:ascii="Garamond" w:eastAsia="Garamond" w:hAnsi="Garamond" w:cs="Garamond"/>
          <w:color w:val="2A2A2A"/>
          <w:sz w:val="22"/>
          <w:szCs w:val="22"/>
        </w:rPr>
        <w:t>The JM audits the courts for judicial scope and independence, and conducts annual audits of the Elections Panel for electoral integrity compliance, including the administration of the Judicial Pool and all constitutional pools. The JM reviews compliance with compact agreements under Article XVI and Associated Community compact agreements under Article XX. The JM administers all constitutional lottery draws and candidate certification functions.</w:t>
      </w:r>
    </w:p>
    <w:p w14:paraId="3B4115BB" w14:textId="77777777" w:rsidR="00AF3D56" w:rsidRDefault="00000000">
      <w:pPr>
        <w:spacing w:before="200" w:after="60"/>
        <w:ind w:left="431"/>
      </w:pPr>
      <w:r>
        <w:rPr>
          <w:rFonts w:ascii="Courier New" w:eastAsia="Courier New" w:hAnsi="Courier New" w:cs="Courier New"/>
          <w:b/>
          <w:bCs/>
          <w:color w:val="2A2A2A"/>
          <w:sz w:val="18"/>
          <w:szCs w:val="18"/>
        </w:rPr>
        <w:t xml:space="preserve">§9.1.d  </w:t>
      </w:r>
      <w:r>
        <w:rPr>
          <w:rFonts w:ascii="Garamond" w:eastAsia="Garamond" w:hAnsi="Garamond" w:cs="Garamond"/>
          <w:i/>
          <w:iCs/>
          <w:color w:val="1B2A4A"/>
          <w:sz w:val="22"/>
          <w:szCs w:val="22"/>
        </w:rPr>
        <w:t>Monitor General Term Expiry and Incapacity</w:t>
      </w:r>
    </w:p>
    <w:p w14:paraId="4AEB7A07" w14:textId="77777777" w:rsidR="00AF3D56" w:rsidRDefault="00000000">
      <w:pPr>
        <w:spacing w:after="120"/>
        <w:ind w:left="431"/>
        <w:jc w:val="both"/>
      </w:pPr>
      <w:r>
        <w:rPr>
          <w:rFonts w:ascii="Garamond" w:eastAsia="Garamond" w:hAnsi="Garamond" w:cs="Garamond"/>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where two or more pool members have equal continuous pool tenure, the tiebreaker is defined by statute. The Acting Monitor General holds full constitutional authority of the office. The Acting Monitor General is not eligible for permanent appointment to the position in which they serve; upon </w:t>
      </w:r>
      <w:r>
        <w:rPr>
          <w:rFonts w:ascii="Garamond" w:eastAsia="Garamond" w:hAnsi="Garamond" w:cs="Garamond"/>
          <w:color w:val="2A2A2A"/>
          <w:sz w:val="22"/>
          <w:szCs w:val="22"/>
        </w:rPr>
        <w:lastRenderedPageBreak/>
        <w:t>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14:paraId="46B5493E" w14:textId="77777777" w:rsidR="00AF3D56" w:rsidRDefault="00000000">
      <w:pPr>
        <w:spacing w:before="200" w:after="60"/>
        <w:ind w:left="431"/>
      </w:pPr>
      <w:r>
        <w:rPr>
          <w:rFonts w:ascii="Courier New" w:eastAsia="Courier New" w:hAnsi="Courier New" w:cs="Courier New"/>
          <w:b/>
          <w:bCs/>
          <w:color w:val="2A2A2A"/>
          <w:sz w:val="18"/>
          <w:szCs w:val="18"/>
        </w:rPr>
        <w:t xml:space="preserve">§9.2  </w:t>
      </w:r>
      <w:r>
        <w:rPr>
          <w:rFonts w:ascii="Garamond" w:eastAsia="Garamond" w:hAnsi="Garamond" w:cs="Garamond"/>
          <w:i/>
          <w:iCs/>
          <w:color w:val="1B2A4A"/>
          <w:sz w:val="22"/>
          <w:szCs w:val="22"/>
        </w:rPr>
        <w:t>Selection and Independence</w:t>
      </w:r>
    </w:p>
    <w:p w14:paraId="33C79C2D" w14:textId="77777777" w:rsidR="00AF3D56" w:rsidRDefault="00000000">
      <w:pPr>
        <w:spacing w:after="120"/>
        <w:ind w:left="431"/>
        <w:jc w:val="both"/>
      </w:pPr>
      <w:r>
        <w:rPr>
          <w:rFonts w:ascii="Garamond" w:eastAsia="Garamond" w:hAnsi="Garamond" w:cs="Garamond"/>
          <w:color w:val="2A2A2A"/>
          <w:sz w:val="22"/>
          <w:szCs w:val="22"/>
        </w:rPr>
        <w:t>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14:paraId="0BBF3D39" w14:textId="77777777" w:rsidR="00AF3D56" w:rsidRDefault="00000000">
      <w:pPr>
        <w:spacing w:before="200" w:after="60"/>
        <w:ind w:left="431"/>
      </w:pPr>
      <w:r>
        <w:rPr>
          <w:rFonts w:ascii="Courier New" w:eastAsia="Courier New" w:hAnsi="Courier New" w:cs="Courier New"/>
          <w:b/>
          <w:bCs/>
          <w:color w:val="2A2A2A"/>
          <w:sz w:val="18"/>
          <w:szCs w:val="18"/>
        </w:rPr>
        <w:t xml:space="preserve">§9.3  </w:t>
      </w:r>
      <w:r>
        <w:rPr>
          <w:rFonts w:ascii="Garamond" w:eastAsia="Garamond" w:hAnsi="Garamond" w:cs="Garamond"/>
          <w:i/>
          <w:iCs/>
          <w:color w:val="1B2A4A"/>
          <w:sz w:val="22"/>
          <w:szCs w:val="22"/>
        </w:rPr>
        <w:t>Monitor General Selection</w:t>
      </w:r>
    </w:p>
    <w:p w14:paraId="429C6323" w14:textId="77777777" w:rsidR="00AF3D56" w:rsidRDefault="00000000">
      <w:pPr>
        <w:spacing w:after="120"/>
        <w:ind w:left="431"/>
        <w:jc w:val="both"/>
      </w:pPr>
      <w:r>
        <w:rPr>
          <w:rFonts w:ascii="Garamond" w:eastAsia="Garamond" w:hAnsi="Garamond" w:cs="Garamond"/>
          <w:color w:val="2A2A2A"/>
          <w:sz w:val="22"/>
          <w:szCs w:val="22"/>
        </w:rPr>
        <w:t>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§9.12 from the JM Candidate Pool under §9.4.a. No two Monitor General terms may begin within 18 months of each other. The confirmed successor assumes full authority at the precise moment the incumbent’s term concludes.</w:t>
      </w:r>
    </w:p>
    <w:p w14:paraId="04940EBC" w14:textId="77777777" w:rsidR="00AF3D56" w:rsidRDefault="00000000">
      <w:pPr>
        <w:spacing w:before="200" w:after="60"/>
        <w:ind w:left="431"/>
      </w:pPr>
      <w:r>
        <w:rPr>
          <w:rFonts w:ascii="Courier New" w:eastAsia="Courier New" w:hAnsi="Courier New" w:cs="Courier New"/>
          <w:b/>
          <w:bCs/>
          <w:color w:val="2A2A2A"/>
          <w:sz w:val="18"/>
          <w:szCs w:val="18"/>
        </w:rPr>
        <w:t xml:space="preserve">§9.4  </w:t>
      </w:r>
      <w:r>
        <w:rPr>
          <w:rFonts w:ascii="Garamond" w:eastAsia="Garamond" w:hAnsi="Garamond" w:cs="Garamond"/>
          <w:i/>
          <w:iCs/>
          <w:color w:val="1B2A4A"/>
          <w:sz w:val="22"/>
          <w:szCs w:val="22"/>
        </w:rPr>
        <w:t>Judicial Monitor Audit and Lottery Administration Mandate</w:t>
      </w:r>
    </w:p>
    <w:p w14:paraId="3F05EDAE" w14:textId="77777777" w:rsidR="00AF3D56" w:rsidRDefault="00000000">
      <w:pPr>
        <w:spacing w:after="120"/>
        <w:ind w:left="431"/>
        <w:jc w:val="both"/>
      </w:pPr>
      <w:r>
        <w:rPr>
          <w:rFonts w:ascii="Garamond" w:eastAsia="Garamond" w:hAnsi="Garamond" w:cs="Garamond"/>
          <w:color w:val="2A2A2A"/>
          <w:sz w:val="22"/>
          <w:szCs w:val="22"/>
        </w:rPr>
        <w:t>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the Elections Panel may appeal to the Appellate Court within 14 days; the Court reviews only whether eligibility criteria were correctly applied and must rule within 21 days.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JMC conducts the lottery in a public session; the outgoing JM Monitor General does not participate. The pool is publicly accessible at all times.</w:t>
      </w:r>
    </w:p>
    <w:p w14:paraId="617C0C91" w14:textId="77777777" w:rsidR="00AF3D56" w:rsidRDefault="00000000">
      <w:pPr>
        <w:spacing w:before="200" w:after="60"/>
        <w:ind w:left="431"/>
      </w:pPr>
      <w:r>
        <w:rPr>
          <w:rFonts w:ascii="Courier New" w:eastAsia="Courier New" w:hAnsi="Courier New" w:cs="Courier New"/>
          <w:b/>
          <w:bCs/>
          <w:color w:val="2A2A2A"/>
          <w:sz w:val="18"/>
          <w:szCs w:val="18"/>
        </w:rPr>
        <w:t xml:space="preserve">§9.4.b  </w:t>
      </w:r>
      <w:r>
        <w:rPr>
          <w:rFonts w:ascii="Garamond" w:eastAsia="Garamond" w:hAnsi="Garamond" w:cs="Garamond"/>
          <w:i/>
          <w:iCs/>
          <w:color w:val="1B2A4A"/>
          <w:sz w:val="22"/>
          <w:szCs w:val="22"/>
        </w:rPr>
        <w:t>Judicial Pool — Eligibility Criteria</w:t>
      </w:r>
    </w:p>
    <w:p w14:paraId="6EFB0724" w14:textId="77777777" w:rsidR="00AF3D56" w:rsidRDefault="00000000">
      <w:pPr>
        <w:spacing w:after="120"/>
        <w:ind w:left="431"/>
        <w:jc w:val="both"/>
      </w:pPr>
      <w:r>
        <w:rPr>
          <w:rFonts w:ascii="Garamond" w:eastAsia="Garamond" w:hAnsi="Garamond" w:cs="Garamond"/>
          <w:color w:val="2A2A2A"/>
          <w:sz w:val="22"/>
          <w:szCs w:val="22"/>
        </w:rPr>
        <w:lastRenderedPageBreak/>
        <w:t>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as defined in §12.4.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14:paraId="2F4DE292" w14:textId="77777777" w:rsidR="00AF3D56" w:rsidRDefault="00000000">
      <w:pPr>
        <w:spacing w:before="200" w:after="60"/>
        <w:ind w:left="431"/>
      </w:pPr>
      <w:r>
        <w:rPr>
          <w:rFonts w:ascii="Courier New" w:eastAsia="Courier New" w:hAnsi="Courier New" w:cs="Courier New"/>
          <w:b/>
          <w:bCs/>
          <w:color w:val="2A2A2A"/>
          <w:sz w:val="18"/>
          <w:szCs w:val="18"/>
        </w:rPr>
        <w:t xml:space="preserve">§9.6  </w:t>
      </w:r>
      <w:r>
        <w:rPr>
          <w:rFonts w:ascii="Garamond" w:eastAsia="Garamond" w:hAnsi="Garamond" w:cs="Garamond"/>
          <w:i/>
          <w:iCs/>
          <w:color w:val="1B2A4A"/>
          <w:sz w:val="22"/>
          <w:szCs w:val="22"/>
        </w:rPr>
        <w:t>Monitor Operations</w:t>
      </w:r>
    </w:p>
    <w:p w14:paraId="59F9C37E" w14:textId="77777777" w:rsidR="00AF3D56" w:rsidRDefault="00000000">
      <w:pPr>
        <w:spacing w:after="120"/>
        <w:ind w:left="431"/>
        <w:jc w:val="both"/>
      </w:pPr>
      <w:r>
        <w:rPr>
          <w:rFonts w:ascii="Garamond" w:eastAsia="Garamond" w:hAnsi="Garamond" w:cs="Garamond"/>
          <w:color w:val="2A2A2A"/>
          <w:sz w:val="22"/>
          <w:szCs w:val="22"/>
        </w:rPr>
        <w:t>Every finding, report, and discrepancy notice must be published to the NRS permanently and free of charge; no official may suppress, delay, classify, or alter a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14:paraId="5DCDAB6A" w14:textId="77777777" w:rsidR="00AF3D56" w:rsidRDefault="00000000">
      <w:pPr>
        <w:spacing w:before="200" w:after="60"/>
        <w:ind w:left="431"/>
      </w:pPr>
      <w:r>
        <w:rPr>
          <w:rFonts w:ascii="Courier New" w:eastAsia="Courier New" w:hAnsi="Courier New" w:cs="Courier New"/>
          <w:b/>
          <w:bCs/>
          <w:color w:val="2A2A2A"/>
          <w:sz w:val="18"/>
          <w:szCs w:val="18"/>
        </w:rPr>
        <w:t xml:space="preserve">§9.10  </w:t>
      </w:r>
      <w:r>
        <w:rPr>
          <w:rFonts w:ascii="Garamond" w:eastAsia="Garamond" w:hAnsi="Garamond" w:cs="Garamond"/>
          <w:i/>
          <w:iCs/>
          <w:color w:val="1B2A4A"/>
          <w:sz w:val="22"/>
          <w:szCs w:val="22"/>
        </w:rPr>
        <w:t>Monitor Minimum Funding Guarantee</w:t>
      </w:r>
    </w:p>
    <w:p w14:paraId="3635D7E7" w14:textId="77777777" w:rsidR="00AF3D56" w:rsidRDefault="00000000">
      <w:pPr>
        <w:spacing w:after="120"/>
        <w:ind w:left="431"/>
        <w:jc w:val="both"/>
      </w:pPr>
      <w:r>
        <w:rPr>
          <w:rFonts w:ascii="Garamond" w:eastAsia="Garamond" w:hAnsi="Garamond" w:cs="Garamond"/>
          <w:color w:val="2A2A2A"/>
          <w:sz w:val="22"/>
          <w:szCs w:val="22"/>
        </w:rPr>
        <w:t>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14:paraId="4AA87CF4" w14:textId="77777777" w:rsidR="00AF3D56" w:rsidRDefault="00000000">
      <w:pPr>
        <w:spacing w:before="200" w:after="60"/>
        <w:ind w:left="431"/>
      </w:pPr>
      <w:r>
        <w:rPr>
          <w:rFonts w:ascii="Courier New" w:eastAsia="Courier New" w:hAnsi="Courier New" w:cs="Courier New"/>
          <w:b/>
          <w:bCs/>
          <w:color w:val="2A2A2A"/>
          <w:sz w:val="18"/>
          <w:szCs w:val="18"/>
        </w:rPr>
        <w:t xml:space="preserve">§9.11  </w:t>
      </w:r>
      <w:r>
        <w:rPr>
          <w:rFonts w:ascii="Garamond" w:eastAsia="Garamond" w:hAnsi="Garamond" w:cs="Garamond"/>
          <w:i/>
          <w:iCs/>
          <w:color w:val="1B2A4A"/>
          <w:sz w:val="22"/>
          <w:szCs w:val="22"/>
        </w:rPr>
        <w:t>Joint Monitor Council</w:t>
      </w:r>
    </w:p>
    <w:p w14:paraId="3CCE73C8" w14:textId="77777777" w:rsidR="00AF3D56" w:rsidRDefault="00000000">
      <w:pPr>
        <w:spacing w:after="120"/>
        <w:ind w:left="431"/>
        <w:jc w:val="both"/>
      </w:pPr>
      <w:r>
        <w:rPr>
          <w:rFonts w:ascii="Garamond" w:eastAsia="Garamond" w:hAnsi="Garamond" w:cs="Garamond"/>
          <w:color w:val="2A2A2A"/>
          <w:sz w:val="22"/>
          <w:szCs w:val="22"/>
        </w:rPr>
        <w:t>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14:paraId="573CA303"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§9.11.a  </w:t>
      </w:r>
      <w:r>
        <w:rPr>
          <w:rFonts w:ascii="Garamond" w:eastAsia="Garamond" w:hAnsi="Garamond" w:cs="Garamond"/>
          <w:i/>
          <w:iCs/>
          <w:color w:val="1B2A4A"/>
          <w:sz w:val="22"/>
          <w:szCs w:val="22"/>
        </w:rPr>
        <w:t>Institutional Compromise Protocol</w:t>
      </w:r>
    </w:p>
    <w:p w14:paraId="4C467E62" w14:textId="77777777" w:rsidR="00AF3D56" w:rsidRDefault="00000000">
      <w:pPr>
        <w:spacing w:after="120"/>
        <w:ind w:left="431"/>
        <w:jc w:val="both"/>
      </w:pPr>
      <w:r>
        <w:rPr>
          <w:rFonts w:ascii="Garamond" w:eastAsia="Garamond" w:hAnsi="Garamond" w:cs="Garamond"/>
          <w:color w:val="2A2A2A"/>
          <w:sz w:val="22"/>
          <w:szCs w:val="22"/>
        </w:rPr>
        <w:t>Where two of the three Monitors jointly assess and report that the third is operating in demonstrable bad faith, they petition the SC directly for confirmation of the finding under its original jurisdiction in §4.5; the SC rules within 14 days. Upon filing the petition, the two petitioning Monitors jointly designate an Acting Monitor General as the most senior member of the affected Monitor’s candidate pool by continuous pool tenure who accepts the designation; both executives are notified immediately. The Acting Monitor General assumes all constitutional functions of the compromised Monitor from the moment of designation. If the SC rules that the finding is not confirmed, the Acting Monitor General stands down and all functions return immediately to the original Monitor General. Where the SC neither rules nor files an extension request within the applicable period, the Acting Monitor General stands down, all functions return to the original Monitor General, and the petition may be refiled.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14:paraId="476B5CB4" w14:textId="77777777" w:rsidR="00AF3D56" w:rsidRDefault="00000000">
      <w:pPr>
        <w:spacing w:before="200" w:after="60"/>
        <w:ind w:left="431"/>
      </w:pPr>
      <w:r>
        <w:rPr>
          <w:rFonts w:ascii="Courier New" w:eastAsia="Courier New" w:hAnsi="Courier New" w:cs="Courier New"/>
          <w:b/>
          <w:bCs/>
          <w:color w:val="2A2A2A"/>
          <w:sz w:val="18"/>
          <w:szCs w:val="18"/>
        </w:rPr>
        <w:t xml:space="preserve">§9.12  </w:t>
      </w:r>
      <w:r>
        <w:rPr>
          <w:rFonts w:ascii="Garamond" w:eastAsia="Garamond" w:hAnsi="Garamond" w:cs="Garamond"/>
          <w:i/>
          <w:iCs/>
          <w:color w:val="1B2A4A"/>
          <w:sz w:val="22"/>
          <w:szCs w:val="22"/>
        </w:rPr>
        <w:t>Constitutional Pool Framework</w:t>
      </w:r>
    </w:p>
    <w:p w14:paraId="7CD03CD4" w14:textId="77777777" w:rsidR="00AF3D56" w:rsidRDefault="00000000">
      <w:pPr>
        <w:spacing w:after="120"/>
        <w:ind w:left="431"/>
        <w:jc w:val="both"/>
      </w:pPr>
      <w:r>
        <w:rPr>
          <w:rFonts w:ascii="Garamond" w:eastAsia="Garamond" w:hAnsi="Garamond" w:cs="Garamond"/>
          <w:color w:val="2A2A2A"/>
          <w:sz w:val="22"/>
          <w:szCs w:val="22"/>
        </w:rPr>
        <w:t>The Elections Panel maintains all constitutional candidate registries and pools, including the Judicial Pool, and administers public access to their records via the NRS. Each pool is subject to ongoing Monitor audit; findings are published to the NRS. Any applicant excluded may appeal to the SC within 14 days on the sole ground that the qualification requirements were misapplied.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this fallback applies only to judicial and Monitor pools. Eligibility criteria for all pools are strictly objective — years of practice or service, office status, and financial interests as defined under §12.4.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applicant may appeal to the courts within 30 days of NRS publication on the sole ground that stated grounds do not correspond to an established eligibility criterion; the applicable court and process are defined by statute. Changes to eligibility criteria apply prospectively only and do not affect persons already entered in a constitutional pool or registry under the criteria applicable at the time of their entry.</w:t>
      </w:r>
    </w:p>
    <w:p w14:paraId="5BBA903E" w14:textId="77777777" w:rsidR="00AF3D56" w:rsidRDefault="00000000">
      <w:pPr>
        <w:spacing w:before="200" w:after="60"/>
        <w:ind w:left="431"/>
      </w:pPr>
      <w:r>
        <w:rPr>
          <w:rFonts w:ascii="Courier New" w:eastAsia="Courier New" w:hAnsi="Courier New" w:cs="Courier New"/>
          <w:b/>
          <w:bCs/>
          <w:color w:val="2A2A2A"/>
          <w:sz w:val="18"/>
          <w:szCs w:val="18"/>
        </w:rPr>
        <w:t xml:space="preserve">§9.14  </w:t>
      </w:r>
      <w:r>
        <w:rPr>
          <w:rFonts w:ascii="Garamond" w:eastAsia="Garamond" w:hAnsi="Garamond" w:cs="Garamond"/>
          <w:i/>
          <w:iCs/>
          <w:color w:val="1B2A4A"/>
          <w:sz w:val="22"/>
          <w:szCs w:val="22"/>
        </w:rPr>
        <w:t>Constitutional Officer Removal — Standard Track</w:t>
      </w:r>
    </w:p>
    <w:p w14:paraId="1F3C84B3" w14:textId="77777777" w:rsidR="00AF3D56" w:rsidRDefault="00000000">
      <w:pPr>
        <w:spacing w:after="120"/>
        <w:ind w:left="431"/>
        <w:jc w:val="both"/>
      </w:pPr>
      <w:r>
        <w:rPr>
          <w:rFonts w:ascii="Garamond" w:eastAsia="Garamond" w:hAnsi="Garamond" w:cs="Garamond"/>
          <w:color w:val="2A2A2A"/>
          <w:sz w:val="22"/>
          <w:szCs w:val="22"/>
        </w:rPr>
        <w:t xml:space="preserve">This section governs for-cause removal of all constitutionally confirmed independent officers except Supreme Court justices under §4.3.b and elected executives. Monitor Generals are subject to for-cause removal under this section; the Judicial Track is additionally available for Monitor Generals where two of the three Monitors jointly assess and report for-cause grounds.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The SC must rule within 14 days; where the SC requires additional time, a majority of seated justices may file an extension request within the 14-day period specifying the reason and the additional period required, published to the NRS; the maximum extension period is defined by statute. Where the SC neither rules nor files an extension request within the </w:t>
      </w:r>
      <w:r>
        <w:rPr>
          <w:rFonts w:ascii="Garamond" w:eastAsia="Garamond" w:hAnsi="Garamond" w:cs="Garamond"/>
          <w:color w:val="2A2A2A"/>
          <w:sz w:val="22"/>
          <w:szCs w:val="22"/>
        </w:rPr>
        <w:lastRenderedPageBreak/>
        <w:t>applicable period, the removal proceeding lapses for that session and may be reinitiated under this section. The Legislature defines enumerated removal categories for each constitutionally confirmed office by statute.</w:t>
      </w:r>
    </w:p>
    <w:p w14:paraId="6FBB894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 — The National Record System</w:t>
      </w:r>
    </w:p>
    <w:p w14:paraId="088DBF10" w14:textId="77777777" w:rsidR="00AF3D56" w:rsidRDefault="00000000">
      <w:pPr>
        <w:spacing w:before="200" w:after="60"/>
        <w:ind w:left="431"/>
      </w:pPr>
      <w:r>
        <w:rPr>
          <w:rFonts w:ascii="Courier New" w:eastAsia="Courier New" w:hAnsi="Courier New" w:cs="Courier New"/>
          <w:b/>
          <w:bCs/>
          <w:color w:val="2A2A2A"/>
          <w:sz w:val="18"/>
          <w:szCs w:val="18"/>
        </w:rPr>
        <w:t xml:space="preserve">§10.1  </w:t>
      </w:r>
      <w:r>
        <w:rPr>
          <w:rFonts w:ascii="Garamond" w:eastAsia="Garamond" w:hAnsi="Garamond" w:cs="Garamond"/>
          <w:i/>
          <w:iCs/>
          <w:color w:val="1B2A4A"/>
          <w:sz w:val="22"/>
          <w:szCs w:val="22"/>
        </w:rPr>
        <w:t>National Record System</w:t>
      </w:r>
    </w:p>
    <w:p w14:paraId="40E775B2" w14:textId="77777777" w:rsidR="00AF3D56" w:rsidRDefault="00000000">
      <w:pPr>
        <w:spacing w:after="120"/>
        <w:ind w:left="431"/>
        <w:jc w:val="both"/>
      </w:pPr>
      <w:r>
        <w:rPr>
          <w:rFonts w:ascii="Garamond" w:eastAsia="Garamond" w:hAnsi="Garamond" w:cs="Garamond"/>
          <w:color w:val="2A2A2A"/>
          <w:sz w:val="22"/>
          <w:szCs w:val="22"/>
        </w:rPr>
        <w:t>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pending judicial review; the reviewing court must rule within 14 days; the record is permanently restored unless the court confirms the restriction on the narrowest possible grounds; the applicable court is designated by statute.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 Funding for the NRS may not fall below the prior year’s level without a 2/3 vote of both chambers.</w:t>
      </w:r>
    </w:p>
    <w:p w14:paraId="0A9AFFF0" w14:textId="77777777" w:rsidR="00AF3D56" w:rsidRDefault="00000000">
      <w:pPr>
        <w:spacing w:before="200" w:after="60"/>
        <w:ind w:left="431"/>
      </w:pPr>
      <w:r>
        <w:rPr>
          <w:rFonts w:ascii="Courier New" w:eastAsia="Courier New" w:hAnsi="Courier New" w:cs="Courier New"/>
          <w:b/>
          <w:bCs/>
          <w:color w:val="2A2A2A"/>
          <w:sz w:val="18"/>
          <w:szCs w:val="18"/>
        </w:rPr>
        <w:t xml:space="preserve">§10.3  </w:t>
      </w:r>
      <w:r>
        <w:rPr>
          <w:rFonts w:ascii="Garamond" w:eastAsia="Garamond" w:hAnsi="Garamond" w:cs="Garamond"/>
          <w:i/>
          <w:iCs/>
          <w:color w:val="1B2A4A"/>
          <w:sz w:val="22"/>
          <w:szCs w:val="22"/>
        </w:rPr>
        <w:t>Classification Criteria</w:t>
      </w:r>
    </w:p>
    <w:p w14:paraId="77595E98" w14:textId="77777777" w:rsidR="00AF3D56" w:rsidRDefault="00000000">
      <w:pPr>
        <w:spacing w:after="120"/>
        <w:ind w:left="431"/>
        <w:jc w:val="both"/>
      </w:pPr>
      <w:r>
        <w:rPr>
          <w:rFonts w:ascii="Garamond" w:eastAsia="Garamond" w:hAnsi="Garamond" w:cs="Garamond"/>
          <w:color w:val="2A2A2A"/>
          <w:sz w:val="22"/>
          <w:szCs w:val="22"/>
        </w:rPr>
        <w:t>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14:paraId="3A8EE734"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 — NRS Panel and Elections Panel</w:t>
      </w:r>
    </w:p>
    <w:p w14:paraId="174884A5"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NRS Panel and Elections Panel</w:t>
      </w:r>
    </w:p>
    <w:p w14:paraId="54155DBF" w14:textId="77777777" w:rsidR="00AF3D56" w:rsidRDefault="00000000">
      <w:pPr>
        <w:spacing w:after="120"/>
        <w:ind w:left="431"/>
        <w:jc w:val="both"/>
      </w:pPr>
      <w:r>
        <w:rPr>
          <w:rFonts w:ascii="Garamond" w:eastAsia="Garamond" w:hAnsi="Garamond" w:cs="Garamond"/>
          <w:color w:val="2A2A2A"/>
          <w:sz w:val="22"/>
          <w:szCs w:val="22"/>
        </w:rPr>
        <w:t>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§7.3.a.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 Where either Panel falls below the five-member floor through resignation, removal, disqualification, or any other cause, the Civic Consul may appoint a qualified civil servant employed by that Panel to serve as Acting member, not to exceed the period defined by statute, which may not exceed 180 days; the Acting member may exercise all authorities of a full member during that period and the appointment does not affect the ordinary process for filling the vacancy permanently.</w:t>
      </w:r>
    </w:p>
    <w:p w14:paraId="52BA3DE1"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NVS Properties and Voting Rights</w:t>
      </w:r>
    </w:p>
    <w:p w14:paraId="4DE4C43E" w14:textId="77777777" w:rsidR="00AF3D56" w:rsidRDefault="00000000">
      <w:pPr>
        <w:spacing w:after="120"/>
        <w:ind w:left="431"/>
        <w:jc w:val="both"/>
      </w:pPr>
      <w:r>
        <w:rPr>
          <w:rFonts w:ascii="Garamond" w:eastAsia="Garamond" w:hAnsi="Garamond" w:cs="Garamond"/>
          <w:color w:val="2A2A2A"/>
          <w:sz w:val="22"/>
          <w:szCs w:val="22"/>
        </w:rPr>
        <w:t>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14:paraId="5C4960C1"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State Election Non-Compliance</w:t>
      </w:r>
    </w:p>
    <w:p w14:paraId="0611AAFA" w14:textId="77777777" w:rsidR="00AF3D56" w:rsidRDefault="00000000">
      <w:pPr>
        <w:spacing w:after="120"/>
        <w:ind w:left="431"/>
        <w:jc w:val="both"/>
      </w:pPr>
      <w:r>
        <w:rPr>
          <w:rFonts w:ascii="Garamond" w:eastAsia="Garamond" w:hAnsi="Garamond" w:cs="Garamond"/>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w:t>
      </w:r>
      <w:r>
        <w:rPr>
          <w:rFonts w:ascii="Garamond" w:eastAsia="Garamond" w:hAnsi="Garamond" w:cs="Garamond"/>
          <w:color w:val="2A2A2A"/>
          <w:sz w:val="22"/>
          <w:szCs w:val="22"/>
        </w:rPr>
        <w:lastRenderedPageBreak/>
        <w:t>that State for that electoral period only; State administration resumes automatically at the conclusion of that period. The State may petition the SC for challenge the Elections Panel’s finding under §4.5’s original jurisdiction provisions governing State-federal disputes; the process and timeline are defined by statute. A finding of non-compliance does not affect the validity of votes cast; the Elections Panel's administration obligation is to ensure constitutional standards are met going forward.</w:t>
      </w:r>
    </w:p>
    <w:p w14:paraId="6ED8EAA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 — Social State and Economic Rights</w:t>
      </w:r>
    </w:p>
    <w:p w14:paraId="12AEB42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The Social State and Monetary Authority</w:t>
      </w:r>
    </w:p>
    <w:p w14:paraId="534116F3" w14:textId="77777777" w:rsidR="00AF3D56" w:rsidRDefault="00000000">
      <w:pPr>
        <w:spacing w:after="120"/>
        <w:ind w:left="431"/>
        <w:jc w:val="both"/>
      </w:pPr>
      <w:r>
        <w:rPr>
          <w:rFonts w:ascii="Garamond" w:eastAsia="Garamond" w:hAnsi="Garamond" w:cs="Garamond"/>
          <w:color w:val="2A2A2A"/>
          <w:sz w:val="22"/>
          <w:szCs w:val="22"/>
        </w:rPr>
        <w:t>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14:paraId="031A54A1" w14:textId="77777777" w:rsidR="00AF3D56" w:rsidRDefault="00000000">
      <w:pPr>
        <w:spacing w:before="200" w:after="60"/>
        <w:ind w:left="431"/>
      </w:pPr>
      <w:r>
        <w:rPr>
          <w:rFonts w:ascii="Courier New" w:eastAsia="Courier New" w:hAnsi="Courier New" w:cs="Courier New"/>
          <w:b/>
          <w:bCs/>
          <w:color w:val="2A2A2A"/>
          <w:sz w:val="18"/>
          <w:szCs w:val="18"/>
        </w:rPr>
        <w:t xml:space="preserve">§12.1.a  </w:t>
      </w:r>
      <w:r>
        <w:rPr>
          <w:rFonts w:ascii="Garamond" w:eastAsia="Garamond" w:hAnsi="Garamond" w:cs="Garamond"/>
          <w:i/>
          <w:iCs/>
          <w:color w:val="1B2A4A"/>
          <w:sz w:val="22"/>
          <w:szCs w:val="22"/>
        </w:rPr>
        <w:t>The Monetary Authority</w:t>
      </w:r>
    </w:p>
    <w:p w14:paraId="242D4AA1" w14:textId="77777777" w:rsidR="00AF3D56" w:rsidRDefault="00000000">
      <w:pPr>
        <w:spacing w:after="120"/>
        <w:ind w:left="431"/>
        <w:jc w:val="both"/>
      </w:pPr>
      <w:r>
        <w:rPr>
          <w:rFonts w:ascii="Garamond" w:eastAsia="Garamond" w:hAnsi="Garamond" w:cs="Garamond"/>
          <w:color w:val="2A2A2A"/>
          <w:sz w:val="22"/>
          <w:szCs w:val="22"/>
        </w:rPr>
        <w:t>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14:paraId="7894C76C" w14:textId="77777777" w:rsidR="00AF3D56" w:rsidRDefault="00000000">
      <w:pPr>
        <w:spacing w:before="200" w:after="60"/>
        <w:ind w:left="431"/>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Fiscal Accountability</w:t>
      </w:r>
    </w:p>
    <w:p w14:paraId="7EB36F45" w14:textId="77777777" w:rsidR="00AF3D56" w:rsidRDefault="00000000">
      <w:pPr>
        <w:spacing w:after="120"/>
        <w:ind w:left="431"/>
        <w:jc w:val="both"/>
      </w:pPr>
      <w:r>
        <w:rPr>
          <w:rFonts w:ascii="Garamond" w:eastAsia="Garamond" w:hAnsi="Garamond" w:cs="Garamond"/>
          <w:color w:val="2A2A2A"/>
          <w:sz w:val="22"/>
          <w:szCs w:val="22"/>
        </w:rPr>
        <w:t>The annual budget originates in the Assembly. Each Consul prepares and submits to the Assembly a proposed budget for their respective domain, published to the NRS upon submission, by the deadline defined by statute; absent a statutory deadline, no later than 120 days before the start of the fiscal year. The Assembly gives the Consuls’ proposals due consideration in preparing the annual budget and is not bound by them. A Consul’s failure to submit a domain proposal does not delay or bar the budget process; the failure is published to the NRS and the Assembly proceeds. 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14:paraId="44C09FA1" w14:textId="77777777" w:rsidR="00AF3D56" w:rsidRDefault="00000000">
      <w:pPr>
        <w:spacing w:before="200" w:after="60"/>
        <w:ind w:left="431"/>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Taxing Power and National Revenue Fund</w:t>
      </w:r>
    </w:p>
    <w:p w14:paraId="2CB8BD2E" w14:textId="77777777" w:rsidR="00AF3D56" w:rsidRDefault="00000000">
      <w:pPr>
        <w:spacing w:after="120"/>
        <w:ind w:left="431"/>
        <w:jc w:val="both"/>
      </w:pPr>
      <w:r>
        <w:rPr>
          <w:rFonts w:ascii="Garamond" w:eastAsia="Garamond" w:hAnsi="Garamond" w:cs="Garamond"/>
          <w:color w:val="2A2A2A"/>
          <w:sz w:val="22"/>
          <w:szCs w:val="22"/>
        </w:rPr>
        <w:t>The Legislature has exclusive authority to levy taxes, duties, and tariffs by statute; no other body may impose a tax, duty, or levy of any kind.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14:paraId="463E5172" w14:textId="77777777" w:rsidR="00AF3D56" w:rsidRDefault="00000000">
      <w:pPr>
        <w:spacing w:before="200" w:after="60"/>
        <w:ind w:left="431"/>
      </w:pPr>
      <w:r>
        <w:rPr>
          <w:rFonts w:ascii="Courier New" w:eastAsia="Courier New" w:hAnsi="Courier New" w:cs="Courier New"/>
          <w:b/>
          <w:bCs/>
          <w:color w:val="2A2A2A"/>
          <w:sz w:val="18"/>
          <w:szCs w:val="18"/>
        </w:rPr>
        <w:t xml:space="preserve">§12.4  </w:t>
      </w:r>
      <w:r>
        <w:rPr>
          <w:rFonts w:ascii="Garamond" w:eastAsia="Garamond" w:hAnsi="Garamond" w:cs="Garamond"/>
          <w:i/>
          <w:iCs/>
          <w:color w:val="1B2A4A"/>
          <w:sz w:val="22"/>
          <w:szCs w:val="22"/>
        </w:rPr>
        <w:t>Ethics and Conflict of Interest</w:t>
      </w:r>
    </w:p>
    <w:p w14:paraId="5FC7640B" w14:textId="77777777" w:rsidR="00AF3D56" w:rsidRDefault="00000000">
      <w:pPr>
        <w:spacing w:after="120"/>
        <w:ind w:left="431"/>
        <w:jc w:val="both"/>
      </w:pPr>
      <w:r>
        <w:rPr>
          <w:rFonts w:ascii="Garamond" w:eastAsia="Garamond" w:hAnsi="Garamond" w:cs="Garamond"/>
          <w:color w:val="2A2A2A"/>
          <w:sz w:val="22"/>
          <w:szCs w:val="22"/>
        </w:rPr>
        <w:t xml:space="preserve">A financial interest includes any holding, income source, liability, business relationship, or similar economic interest; a financial interest is disqualifying where it creates a direct and material conflict between </w:t>
      </w:r>
      <w:r>
        <w:rPr>
          <w:rFonts w:ascii="Garamond" w:eastAsia="Garamond" w:hAnsi="Garamond" w:cs="Garamond"/>
          <w:color w:val="2A2A2A"/>
          <w:sz w:val="22"/>
          <w:szCs w:val="22"/>
        </w:rPr>
        <w:lastRenderedPageBreak/>
        <w:t>an officer’s personal economic interest and the impartial exercise of their official duties, with statute permitted to further specify categories and thresholds consistent with this standard. All constitutional officers must disclose all financial interests, holdings, income sources, and liabilities to their respective Monitor — the LM for members of the Legislature; the EM for both Consuls, executive branch officers, and military officers; the JM for judicial officers — within the period defined by statute after taking office and annually thereafter; disclosure records are published to the NRS. Candidates for a Monitor General’s own candidate pool are audited for financial disclosure by the other two Monitors jointly rather than by the Monitor whose pool they would join, as provided in §9.3 and §9.4. Any officer with a direct financial interest in a decision within their authority must recuse themselves; recusal is self-executing. Any decision made without required recusal is voidable; the relevant chamber may void the decision by simple majority within 90 days of the respective Monitor’s finding of conflict. Constitutional officers may not, for a period defined by statute after leaving office — which may not be less than two years — engage in any activity that monetizes or draws on non-public information, relationships, or access accumulated during service; the respective Monitor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their respective Monitor and deposited with the relevant treasury. All records created in the exercise of official functions are public records and may not be retained, destroyed, or removed by departing officers. Each Monitor investigates alleged violations of this section within their respective jurisdiction and publishes findings to the NRS; where findings warrant further action, the Monitor refers to the appropriate authority.</w:t>
      </w:r>
    </w:p>
    <w:p w14:paraId="7F55EDD5" w14:textId="77777777" w:rsidR="00AF3D56" w:rsidRDefault="00000000">
      <w:pPr>
        <w:spacing w:before="200" w:after="60"/>
        <w:ind w:left="431"/>
      </w:pPr>
      <w:r>
        <w:rPr>
          <w:rFonts w:ascii="Courier New" w:eastAsia="Courier New" w:hAnsi="Courier New" w:cs="Courier New"/>
          <w:b/>
          <w:bCs/>
          <w:color w:val="2A2A2A"/>
          <w:sz w:val="18"/>
          <w:szCs w:val="18"/>
        </w:rPr>
        <w:t xml:space="preserve">§12.4.a  </w:t>
      </w:r>
      <w:r>
        <w:rPr>
          <w:rFonts w:ascii="Garamond" w:eastAsia="Garamond" w:hAnsi="Garamond" w:cs="Garamond"/>
          <w:i/>
          <w:iCs/>
          <w:color w:val="1B2A4A"/>
          <w:sz w:val="22"/>
          <w:szCs w:val="22"/>
        </w:rPr>
        <w:t>Codes of Conduct and Recusal</w:t>
      </w:r>
    </w:p>
    <w:p w14:paraId="1E91FD8A" w14:textId="77777777" w:rsidR="00AF3D56" w:rsidRDefault="00000000">
      <w:pPr>
        <w:spacing w:after="120"/>
        <w:ind w:left="431"/>
        <w:jc w:val="both"/>
      </w:pPr>
      <w:r>
        <w:rPr>
          <w:rFonts w:ascii="Garamond" w:eastAsia="Garamond" w:hAnsi="Garamond" w:cs="Garamond"/>
          <w:color w:val="2A2A2A"/>
          <w:sz w:val="22"/>
          <w:szCs w:val="22"/>
        </w:rPr>
        <w:t>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§9.14.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14:paraId="61B86608" w14:textId="77777777" w:rsidR="00AF3D56" w:rsidRDefault="00000000">
      <w:pPr>
        <w:spacing w:before="200" w:after="60"/>
        <w:ind w:left="431"/>
      </w:pPr>
      <w:r>
        <w:rPr>
          <w:rFonts w:ascii="Courier New" w:eastAsia="Courier New" w:hAnsi="Courier New" w:cs="Courier New"/>
          <w:b/>
          <w:bCs/>
          <w:color w:val="2A2A2A"/>
          <w:sz w:val="18"/>
          <w:szCs w:val="18"/>
        </w:rPr>
        <w:t xml:space="preserve">§12.4.b  </w:t>
      </w:r>
      <w:r>
        <w:rPr>
          <w:rFonts w:ascii="Garamond" w:eastAsia="Garamond" w:hAnsi="Garamond" w:cs="Garamond"/>
          <w:i/>
          <w:iCs/>
          <w:color w:val="1B2A4A"/>
          <w:sz w:val="22"/>
          <w:szCs w:val="22"/>
        </w:rPr>
        <w:t>Monitor General Disclosure</w:t>
      </w:r>
    </w:p>
    <w:p w14:paraId="7A2F2502" w14:textId="77777777" w:rsidR="00AF3D56" w:rsidRDefault="00000000">
      <w:pPr>
        <w:spacing w:after="120"/>
        <w:ind w:left="431"/>
        <w:jc w:val="both"/>
      </w:pPr>
      <w:r>
        <w:rPr>
          <w:rFonts w:ascii="Garamond" w:eastAsia="Garamond" w:hAnsi="Garamond" w:cs="Garamond"/>
          <w:color w:val="2A2A2A"/>
          <w:sz w:val="22"/>
          <w:szCs w:val="22"/>
        </w:rPr>
        <w:t>Monitor Generals disclose under the same requirements and schedule as other constitutional officers under §12.4, published directly to the NRS; no Monitor reviews another Monitor’s disclosure. Self-executing recusal applies as under §12.4, but the voidable-decision remedy does not apply to Monitor General functions. The Legislature must include concealment of a disqualifying financial interest, or failure to recuse where required, among the statutory removal categories established for Monitor Generals under §9.14.</w:t>
      </w:r>
    </w:p>
    <w:p w14:paraId="7DABB156" w14:textId="77777777" w:rsidR="00AF3D56" w:rsidRDefault="00000000">
      <w:pPr>
        <w:spacing w:before="200" w:after="60"/>
        <w:ind w:left="431"/>
      </w:pPr>
      <w:r>
        <w:rPr>
          <w:rFonts w:ascii="Courier New" w:eastAsia="Courier New" w:hAnsi="Courier New" w:cs="Courier New"/>
          <w:b/>
          <w:bCs/>
          <w:color w:val="2A2A2A"/>
          <w:sz w:val="18"/>
          <w:szCs w:val="18"/>
        </w:rPr>
        <w:t xml:space="preserve">§12.4.c  </w:t>
      </w:r>
      <w:r>
        <w:rPr>
          <w:rFonts w:ascii="Garamond" w:eastAsia="Garamond" w:hAnsi="Garamond" w:cs="Garamond"/>
          <w:i/>
          <w:iCs/>
          <w:color w:val="1B2A4A"/>
          <w:sz w:val="22"/>
          <w:szCs w:val="22"/>
        </w:rPr>
        <w:t>Federal Employee and Military Disclosure</w:t>
      </w:r>
    </w:p>
    <w:p w14:paraId="3EBF3AEF" w14:textId="77777777" w:rsidR="00AF3D56" w:rsidRDefault="00000000">
      <w:pPr>
        <w:spacing w:after="120"/>
        <w:ind w:left="431"/>
        <w:jc w:val="both"/>
      </w:pPr>
      <w:r>
        <w:rPr>
          <w:rFonts w:ascii="Garamond" w:eastAsia="Garamond" w:hAnsi="Garamond" w:cs="Garamond"/>
          <w:color w:val="2A2A2A"/>
          <w:sz w:val="22"/>
          <w:szCs w:val="22"/>
        </w:rPr>
        <w:t>The Legislature must by statute establish disclosure and recusal requirements for federal government employees and military personnel whose duties create material conflict-of-interest risk, including procurement, regulatory, and senior civil service positions. The respective Monitor audits the administering agency’s compliance with this requirement and publishes findings to the NRS; this audit is systemic and does not require individual-filing review by the Monitor.</w:t>
      </w:r>
    </w:p>
    <w:p w14:paraId="4944C50E" w14:textId="77777777" w:rsidR="00AF3D56" w:rsidRDefault="00000000">
      <w:pPr>
        <w:spacing w:before="200" w:after="60"/>
        <w:ind w:left="431"/>
      </w:pPr>
      <w:r>
        <w:rPr>
          <w:rFonts w:ascii="Courier New" w:eastAsia="Courier New" w:hAnsi="Courier New" w:cs="Courier New"/>
          <w:b/>
          <w:bCs/>
          <w:color w:val="2A2A2A"/>
          <w:sz w:val="18"/>
          <w:szCs w:val="18"/>
        </w:rPr>
        <w:t xml:space="preserve">§12.5  </w:t>
      </w:r>
      <w:r>
        <w:rPr>
          <w:rFonts w:ascii="Garamond" w:eastAsia="Garamond" w:hAnsi="Garamond" w:cs="Garamond"/>
          <w:i/>
          <w:iCs/>
          <w:color w:val="1B2A4A"/>
          <w:sz w:val="22"/>
          <w:szCs w:val="22"/>
        </w:rPr>
        <w:t>National Endowment</w:t>
      </w:r>
    </w:p>
    <w:p w14:paraId="6E4888F1" w14:textId="77777777" w:rsidR="00AF3D56" w:rsidRDefault="00000000">
      <w:pPr>
        <w:spacing w:after="120"/>
        <w:ind w:left="431"/>
        <w:jc w:val="both"/>
      </w:pPr>
      <w:r>
        <w:rPr>
          <w:rFonts w:ascii="Garamond" w:eastAsia="Garamond" w:hAnsi="Garamond" w:cs="Garamond"/>
          <w:color w:val="2A2A2A"/>
          <w:sz w:val="22"/>
          <w:szCs w:val="22"/>
        </w:rPr>
        <w:lastRenderedPageBreak/>
        <w:t>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14:paraId="6FBA841A" w14:textId="77777777" w:rsidR="00AF3D56" w:rsidRDefault="00000000">
      <w:pPr>
        <w:spacing w:before="200" w:after="60"/>
        <w:ind w:left="431"/>
      </w:pPr>
      <w:r>
        <w:rPr>
          <w:rFonts w:ascii="Courier New" w:eastAsia="Courier New" w:hAnsi="Courier New" w:cs="Courier New"/>
          <w:b/>
          <w:bCs/>
          <w:color w:val="2A2A2A"/>
          <w:sz w:val="18"/>
          <w:szCs w:val="18"/>
        </w:rPr>
        <w:t xml:space="preserve">§12.6  </w:t>
      </w:r>
      <w:r>
        <w:rPr>
          <w:rFonts w:ascii="Garamond" w:eastAsia="Garamond" w:hAnsi="Garamond" w:cs="Garamond"/>
          <w:i/>
          <w:iCs/>
          <w:color w:val="1B2A4A"/>
          <w:sz w:val="22"/>
          <w:szCs w:val="22"/>
        </w:rPr>
        <w:t>Compensation of Public Officials</w:t>
      </w:r>
    </w:p>
    <w:p w14:paraId="616AD1B4" w14:textId="77777777" w:rsidR="00AF3D56" w:rsidRDefault="00000000">
      <w:pPr>
        <w:spacing w:after="120"/>
        <w:ind w:left="431"/>
        <w:jc w:val="both"/>
      </w:pPr>
      <w:r>
        <w:rPr>
          <w:rFonts w:ascii="Garamond" w:eastAsia="Garamond" w:hAnsi="Garamond" w:cs="Garamond"/>
          <w:color w:val="2A2A2A"/>
          <w:sz w:val="22"/>
          <w:szCs w:val="22"/>
        </w:rPr>
        <w:t>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14:paraId="59FBD4C2" w14:textId="77777777" w:rsidR="00AF3D56" w:rsidRDefault="00000000">
      <w:pPr>
        <w:spacing w:before="200" w:after="60"/>
        <w:ind w:left="431"/>
      </w:pPr>
      <w:r>
        <w:rPr>
          <w:rFonts w:ascii="Courier New" w:eastAsia="Courier New" w:hAnsi="Courier New" w:cs="Courier New"/>
          <w:b/>
          <w:bCs/>
          <w:color w:val="2A2A2A"/>
          <w:sz w:val="18"/>
          <w:szCs w:val="18"/>
        </w:rPr>
        <w:t xml:space="preserve">§12.7  </w:t>
      </w:r>
      <w:r>
        <w:rPr>
          <w:rFonts w:ascii="Garamond" w:eastAsia="Garamond" w:hAnsi="Garamond" w:cs="Garamond"/>
          <w:i/>
          <w:iCs/>
          <w:color w:val="1B2A4A"/>
          <w:sz w:val="22"/>
          <w:szCs w:val="22"/>
        </w:rPr>
        <w:t>Internal Commerce</w:t>
      </w:r>
    </w:p>
    <w:p w14:paraId="2D1E05AC" w14:textId="77777777" w:rsidR="00AF3D56" w:rsidRDefault="00000000">
      <w:pPr>
        <w:spacing w:after="120"/>
        <w:ind w:left="431"/>
        <w:jc w:val="both"/>
      </w:pPr>
      <w:r>
        <w:rPr>
          <w:rFonts w:ascii="Garamond" w:eastAsia="Garamond" w:hAnsi="Garamond" w:cs="Garamond"/>
          <w:color w:val="2A2A2A"/>
          <w:sz w:val="22"/>
          <w:szCs w:val="22"/>
        </w:rPr>
        <w:t>No State or Territory may impose requirements on goods, services, or economic activity originating in another State or Territory that are more burdensome than those applied to its own. The Legislature may establish uniform internal commerce standards by statute.</w:t>
      </w:r>
    </w:p>
    <w:p w14:paraId="73CC603D" w14:textId="77777777" w:rsidR="00AF3D56" w:rsidRDefault="00000000">
      <w:pPr>
        <w:spacing w:before="200" w:after="60"/>
        <w:ind w:left="431"/>
      </w:pPr>
      <w:r>
        <w:rPr>
          <w:rFonts w:ascii="Courier New" w:eastAsia="Courier New" w:hAnsi="Courier New" w:cs="Courier New"/>
          <w:b/>
          <w:bCs/>
          <w:color w:val="2A2A2A"/>
          <w:sz w:val="18"/>
          <w:szCs w:val="18"/>
        </w:rPr>
        <w:t xml:space="preserve">§12.8  </w:t>
      </w:r>
      <w:r>
        <w:rPr>
          <w:rFonts w:ascii="Garamond" w:eastAsia="Garamond" w:hAnsi="Garamond" w:cs="Garamond"/>
          <w:i/>
          <w:iCs/>
          <w:color w:val="1B2A4A"/>
          <w:sz w:val="22"/>
          <w:szCs w:val="22"/>
        </w:rPr>
        <w:t>Fiscal Equalization</w:t>
      </w:r>
    </w:p>
    <w:p w14:paraId="0294EC51" w14:textId="77777777" w:rsidR="00AF3D56" w:rsidRDefault="00000000">
      <w:pPr>
        <w:spacing w:after="120"/>
        <w:ind w:left="431"/>
        <w:jc w:val="both"/>
      </w:pPr>
      <w:r>
        <w:rPr>
          <w:rFonts w:ascii="Garamond" w:eastAsia="Garamond" w:hAnsi="Garamond" w:cs="Garamond"/>
          <w:color w:val="2A2A2A"/>
          <w:sz w:val="22"/>
          <w:szCs w:val="22"/>
        </w:rPr>
        <w:t>The Legislature shall by statute establish a mechanism ensuring that every State and Territory has fiscal capacity reasonably sufficient to fulfil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must respond within 90 days. Following an EM finding that the mechanism has failed, the Monetary Authority must submit a remedy plan to the Civic Consul and the Speaker of each chamber within 30 days, published to the NRS.</w:t>
      </w:r>
    </w:p>
    <w:p w14:paraId="263A7EF9"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XIII — Direct Democracy</w:t>
      </w:r>
    </w:p>
    <w:p w14:paraId="2D25DBFF" w14:textId="77777777" w:rsidR="00AF3D56" w:rsidRDefault="00000000">
      <w:pPr>
        <w:spacing w:before="200" w:after="60"/>
        <w:ind w:left="431"/>
      </w:pPr>
      <w:r>
        <w:rPr>
          <w:rFonts w:ascii="Courier New" w:eastAsia="Courier New" w:hAnsi="Courier New" w:cs="Courier New"/>
          <w:b/>
          <w:bCs/>
          <w:color w:val="2A2A2A"/>
          <w:sz w:val="18"/>
          <w:szCs w:val="18"/>
        </w:rPr>
        <w:t xml:space="preserve">§13.1  </w:t>
      </w:r>
      <w:r>
        <w:rPr>
          <w:rFonts w:ascii="Garamond" w:eastAsia="Garamond" w:hAnsi="Garamond" w:cs="Garamond"/>
          <w:i/>
          <w:iCs/>
          <w:color w:val="1B2A4A"/>
          <w:sz w:val="22"/>
          <w:szCs w:val="22"/>
        </w:rPr>
        <w:t>Optional Referendum</w:t>
      </w:r>
    </w:p>
    <w:p w14:paraId="20757F55" w14:textId="77777777" w:rsidR="00AF3D56" w:rsidRDefault="00000000">
      <w:pPr>
        <w:spacing w:after="120"/>
        <w:ind w:left="431"/>
        <w:jc w:val="both"/>
      </w:pPr>
      <w:r>
        <w:rPr>
          <w:rFonts w:ascii="Garamond" w:eastAsia="Garamond" w:hAnsi="Garamond" w:cs="Garamond"/>
          <w:color w:val="2A2A2A"/>
          <w:sz w:val="22"/>
          <w:szCs w:val="22"/>
        </w:rPr>
        <w:t>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of not less than 30% and not to exceed 50%, repeals the law immediately upon certification. A failed referendum may not be re-initiated on the same or substantially similar grounds; the Legislature may re-enact a repealed law, which is again subject to referendum.</w:t>
      </w:r>
    </w:p>
    <w:p w14:paraId="56A2B479" w14:textId="77777777" w:rsidR="00AF3D56" w:rsidRDefault="00000000">
      <w:pPr>
        <w:spacing w:before="200" w:after="60"/>
        <w:ind w:left="431"/>
      </w:pPr>
      <w:r>
        <w:rPr>
          <w:rFonts w:ascii="Courier New" w:eastAsia="Courier New" w:hAnsi="Courier New" w:cs="Courier New"/>
          <w:b/>
          <w:bCs/>
          <w:color w:val="2A2A2A"/>
          <w:sz w:val="18"/>
          <w:szCs w:val="18"/>
        </w:rPr>
        <w:t xml:space="preserve">§13.2  </w:t>
      </w:r>
      <w:r>
        <w:rPr>
          <w:rFonts w:ascii="Garamond" w:eastAsia="Garamond" w:hAnsi="Garamond" w:cs="Garamond"/>
          <w:i/>
          <w:iCs/>
          <w:color w:val="1B2A4A"/>
          <w:sz w:val="22"/>
          <w:szCs w:val="22"/>
        </w:rPr>
        <w:t>Citizen Legislative Initiative</w:t>
      </w:r>
    </w:p>
    <w:p w14:paraId="3AF26292" w14:textId="77777777" w:rsidR="00AF3D56" w:rsidRDefault="00000000">
      <w:pPr>
        <w:spacing w:after="120"/>
        <w:ind w:left="431"/>
        <w:jc w:val="both"/>
      </w:pPr>
      <w:r>
        <w:rPr>
          <w:rFonts w:ascii="Garamond" w:eastAsia="Garamond" w:hAnsi="Garamond" w:cs="Garamond"/>
          <w:color w:val="2A2A2A"/>
          <w:sz w:val="22"/>
          <w:szCs w:val="22"/>
        </w:rPr>
        <w:t>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§7.4  </w:t>
      </w:r>
      <w:r>
        <w:rPr>
          <w:rFonts w:ascii="Garamond" w:eastAsia="Garamond" w:hAnsi="Garamond" w:cs="Garamond"/>
          <w:i/>
          <w:iCs/>
          <w:color w:val="1B2A4A"/>
          <w:sz w:val="22"/>
          <w:szCs w:val="22"/>
        </w:rPr>
        <w:t>Electoral Supermajority Threshold</w:t>
      </w:r>
    </w:p>
    <w:p w14:paraId="743CADFF" w14:textId="77777777" w:rsidR="00AF3D56" w:rsidRDefault="00000000">
      <w:pPr>
        <w:spacing w:after="120"/>
        <w:ind w:left="431"/>
        <w:jc w:val="both"/>
      </w:pPr>
      <w:r>
        <w:rPr>
          <w:rFonts w:ascii="Garamond" w:eastAsia="Garamond" w:hAnsi="Garamond" w:cs="Garamond"/>
          <w:color w:val="2A2A2A"/>
          <w:sz w:val="22"/>
          <w:szCs w:val="22"/>
        </w:rPr>
        <w:t>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§9.14.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14:paraId="56EC121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XIV — Military Authorization and Accountability</w:t>
      </w:r>
    </w:p>
    <w:p w14:paraId="397EB8F9" w14:textId="77777777" w:rsidR="00AF3D56" w:rsidRDefault="00000000">
      <w:pPr>
        <w:spacing w:before="200" w:after="60"/>
        <w:ind w:left="431"/>
      </w:pPr>
      <w:r>
        <w:rPr>
          <w:rFonts w:ascii="Courier New" w:eastAsia="Courier New" w:hAnsi="Courier New" w:cs="Courier New"/>
          <w:b/>
          <w:bCs/>
          <w:color w:val="2A2A2A"/>
          <w:sz w:val="18"/>
          <w:szCs w:val="18"/>
        </w:rPr>
        <w:t xml:space="preserve">§14.1  </w:t>
      </w:r>
      <w:r>
        <w:rPr>
          <w:rFonts w:ascii="Garamond" w:eastAsia="Garamond" w:hAnsi="Garamond" w:cs="Garamond"/>
          <w:i/>
          <w:iCs/>
          <w:color w:val="1B2A4A"/>
          <w:sz w:val="22"/>
          <w:szCs w:val="22"/>
        </w:rPr>
        <w:t>Authorized Purposes for Military Force</w:t>
      </w:r>
    </w:p>
    <w:p w14:paraId="4D8B0046" w14:textId="77777777" w:rsidR="00AF3D56" w:rsidRDefault="00000000">
      <w:pPr>
        <w:spacing w:after="120"/>
        <w:ind w:left="431"/>
        <w:jc w:val="both"/>
      </w:pPr>
      <w:r>
        <w:rPr>
          <w:rFonts w:ascii="Garamond" w:eastAsia="Garamond" w:hAnsi="Garamond" w:cs="Garamond"/>
          <w:color w:val="2A2A2A"/>
          <w:sz w:val="22"/>
          <w:szCs w:val="22"/>
        </w:rPr>
        <w:t>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14:paraId="689652C5" w14:textId="77777777" w:rsidR="00AF3D56" w:rsidRDefault="00000000">
      <w:pPr>
        <w:spacing w:before="200" w:after="60"/>
        <w:ind w:left="431"/>
      </w:pPr>
      <w:r>
        <w:rPr>
          <w:rFonts w:ascii="Courier New" w:eastAsia="Courier New" w:hAnsi="Courier New" w:cs="Courier New"/>
          <w:b/>
          <w:bCs/>
          <w:color w:val="2A2A2A"/>
          <w:sz w:val="18"/>
          <w:szCs w:val="18"/>
        </w:rPr>
        <w:t xml:space="preserve">§14.2  </w:t>
      </w:r>
      <w:r>
        <w:rPr>
          <w:rFonts w:ascii="Garamond" w:eastAsia="Garamond" w:hAnsi="Garamond" w:cs="Garamond"/>
          <w:i/>
          <w:iCs/>
          <w:color w:val="1B2A4A"/>
          <w:sz w:val="22"/>
          <w:szCs w:val="22"/>
        </w:rPr>
        <w:t>Defense Authorization and Allocation</w:t>
      </w:r>
    </w:p>
    <w:p w14:paraId="69F24B7F" w14:textId="77777777" w:rsidR="00AF3D56" w:rsidRDefault="00000000">
      <w:pPr>
        <w:spacing w:after="120"/>
        <w:ind w:left="431"/>
        <w:jc w:val="both"/>
      </w:pPr>
      <w:r>
        <w:rPr>
          <w:rFonts w:ascii="Garamond" w:eastAsia="Garamond" w:hAnsi="Garamond" w:cs="Garamond"/>
          <w:color w:val="2A2A2A"/>
          <w:sz w:val="22"/>
          <w:szCs w:val="22"/>
        </w:rPr>
        <w:t>Military expenditure requires legislative authorization under §14.1 and budget passage under §12.2;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14:paraId="0F47319D" w14:textId="77777777" w:rsidR="00AF3D56" w:rsidRDefault="00000000">
      <w:pPr>
        <w:spacing w:before="200" w:after="60"/>
        <w:ind w:left="431"/>
      </w:pPr>
      <w:r>
        <w:rPr>
          <w:rFonts w:ascii="Courier New" w:eastAsia="Courier New" w:hAnsi="Courier New" w:cs="Courier New"/>
          <w:b/>
          <w:bCs/>
          <w:color w:val="2A2A2A"/>
          <w:sz w:val="18"/>
          <w:szCs w:val="18"/>
        </w:rPr>
        <w:t xml:space="preserve">§14.3  </w:t>
      </w:r>
      <w:r>
        <w:rPr>
          <w:rFonts w:ascii="Garamond" w:eastAsia="Garamond" w:hAnsi="Garamond" w:cs="Garamond"/>
          <w:i/>
          <w:iCs/>
          <w:color w:val="1B2A4A"/>
          <w:sz w:val="22"/>
          <w:szCs w:val="22"/>
        </w:rPr>
        <w:t>Military Accountability</w:t>
      </w:r>
    </w:p>
    <w:p w14:paraId="39470BC8" w14:textId="77777777" w:rsidR="00AF3D56" w:rsidRDefault="00000000">
      <w:pPr>
        <w:spacing w:after="120"/>
        <w:ind w:left="431"/>
        <w:jc w:val="both"/>
      </w:pPr>
      <w:r>
        <w:rPr>
          <w:rFonts w:ascii="Garamond" w:eastAsia="Garamond" w:hAnsi="Garamond" w:cs="Garamond"/>
          <w:color w:val="2A2A2A"/>
          <w:sz w:val="22"/>
          <w:szCs w:val="22"/>
        </w:rPr>
        <w:t>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14:paraId="759BD6E3" w14:textId="77777777" w:rsidR="00AF3D56" w:rsidRDefault="00000000">
      <w:pPr>
        <w:spacing w:before="200" w:after="60"/>
        <w:ind w:left="431"/>
      </w:pPr>
      <w:r>
        <w:rPr>
          <w:rFonts w:ascii="Courier New" w:eastAsia="Courier New" w:hAnsi="Courier New" w:cs="Courier New"/>
          <w:b/>
          <w:bCs/>
          <w:color w:val="2A2A2A"/>
          <w:sz w:val="18"/>
          <w:szCs w:val="18"/>
        </w:rPr>
        <w:t xml:space="preserve">§14.4  </w:t>
      </w:r>
      <w:r>
        <w:rPr>
          <w:rFonts w:ascii="Garamond" w:eastAsia="Garamond" w:hAnsi="Garamond" w:cs="Garamond"/>
          <w:i/>
          <w:iCs/>
          <w:color w:val="1B2A4A"/>
          <w:sz w:val="22"/>
          <w:szCs w:val="22"/>
        </w:rPr>
        <w:t>Treaty-Based Military Authorization</w:t>
      </w:r>
    </w:p>
    <w:p w14:paraId="768FBD7E" w14:textId="77777777" w:rsidR="00AF3D56" w:rsidRDefault="00000000">
      <w:pPr>
        <w:spacing w:after="120"/>
        <w:ind w:left="431"/>
        <w:jc w:val="both"/>
      </w:pPr>
      <w:r>
        <w:rPr>
          <w:rFonts w:ascii="Garamond" w:eastAsia="Garamond" w:hAnsi="Garamond" w:cs="Garamond"/>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w:t>
      </w:r>
      <w:r>
        <w:rPr>
          <w:rFonts w:ascii="Garamond" w:eastAsia="Garamond" w:hAnsi="Garamond" w:cs="Garamond"/>
          <w:color w:val="2A2A2A"/>
          <w:sz w:val="22"/>
          <w:szCs w:val="22"/>
        </w:rPr>
        <w:lastRenderedPageBreak/>
        <w:t>authorization, and the action proceeds under the ordinary terms of this Article from that point. Absent an affirmative vote within the 30-day period, §14.2’s expiration and wind-down provisions apply.</w:t>
      </w:r>
    </w:p>
    <w:p w14:paraId="036594B8"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 — Territorial Structure and Statehood</w:t>
      </w:r>
    </w:p>
    <w:p w14:paraId="6B0719C1" w14:textId="77777777" w:rsidR="00AF3D56" w:rsidRDefault="00000000">
      <w:pPr>
        <w:spacing w:before="200" w:after="60"/>
        <w:ind w:left="431"/>
      </w:pPr>
      <w:r>
        <w:rPr>
          <w:rFonts w:ascii="Courier New" w:eastAsia="Courier New" w:hAnsi="Courier New" w:cs="Courier New"/>
          <w:b/>
          <w:bCs/>
          <w:color w:val="2A2A2A"/>
          <w:sz w:val="18"/>
          <w:szCs w:val="18"/>
        </w:rPr>
        <w:t xml:space="preserve">§15.1  </w:t>
      </w:r>
      <w:r>
        <w:rPr>
          <w:rFonts w:ascii="Garamond" w:eastAsia="Garamond" w:hAnsi="Garamond" w:cs="Garamond"/>
          <w:i/>
          <w:iCs/>
          <w:color w:val="1B2A4A"/>
          <w:sz w:val="22"/>
          <w:szCs w:val="22"/>
        </w:rPr>
        <w:t>Territorial Compact</w:t>
      </w:r>
    </w:p>
    <w:p w14:paraId="0A73E2D3" w14:textId="77777777" w:rsidR="00AF3D56" w:rsidRDefault="00000000">
      <w:pPr>
        <w:spacing w:after="120"/>
        <w:ind w:left="431"/>
        <w:jc w:val="both"/>
      </w:pPr>
      <w:r>
        <w:rPr>
          <w:rFonts w:ascii="Garamond" w:eastAsia="Garamond" w:hAnsi="Garamond" w:cs="Garamond"/>
          <w:color w:val="2A2A2A"/>
          <w:sz w:val="22"/>
          <w:szCs w:val="22"/>
        </w:rPr>
        <w:t>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14:paraId="1AD166BC" w14:textId="77777777" w:rsidR="00AF3D56" w:rsidRDefault="00000000">
      <w:pPr>
        <w:spacing w:before="200" w:after="60"/>
        <w:ind w:left="431"/>
      </w:pPr>
      <w:r>
        <w:rPr>
          <w:rFonts w:ascii="Courier New" w:eastAsia="Courier New" w:hAnsi="Courier New" w:cs="Courier New"/>
          <w:b/>
          <w:bCs/>
          <w:color w:val="2A2A2A"/>
          <w:sz w:val="18"/>
          <w:szCs w:val="18"/>
        </w:rPr>
        <w:t xml:space="preserve">§15.2  </w:t>
      </w:r>
      <w:r>
        <w:rPr>
          <w:rFonts w:ascii="Garamond" w:eastAsia="Garamond" w:hAnsi="Garamond" w:cs="Garamond"/>
          <w:i/>
          <w:iCs/>
          <w:color w:val="1B2A4A"/>
          <w:sz w:val="22"/>
          <w:szCs w:val="22"/>
        </w:rPr>
        <w:t>The Statehood Audit</w:t>
      </w:r>
    </w:p>
    <w:p w14:paraId="6E5F08F8" w14:textId="77777777" w:rsidR="00AF3D56" w:rsidRDefault="00000000">
      <w:pPr>
        <w:spacing w:after="120"/>
        <w:ind w:left="431"/>
        <w:jc w:val="both"/>
      </w:pPr>
      <w:r>
        <w:rPr>
          <w:rFonts w:ascii="Garamond" w:eastAsia="Garamond" w:hAnsi="Garamond" w:cs="Garamond"/>
          <w:color w:val="2A2A2A"/>
          <w:sz w:val="22"/>
          <w:szCs w:val="22"/>
        </w:rPr>
        <w:t>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14:paraId="4EE807A8" w14:textId="77777777" w:rsidR="00AF3D56" w:rsidRDefault="00000000">
      <w:pPr>
        <w:spacing w:before="200" w:after="60"/>
        <w:ind w:left="431"/>
      </w:pPr>
      <w:r>
        <w:rPr>
          <w:rFonts w:ascii="Courier New" w:eastAsia="Courier New" w:hAnsi="Courier New" w:cs="Courier New"/>
          <w:b/>
          <w:bCs/>
          <w:color w:val="2A2A2A"/>
          <w:sz w:val="18"/>
          <w:szCs w:val="18"/>
        </w:rPr>
        <w:t xml:space="preserve">§15.3  </w:t>
      </w:r>
      <w:r>
        <w:rPr>
          <w:rFonts w:ascii="Garamond" w:eastAsia="Garamond" w:hAnsi="Garamond" w:cs="Garamond"/>
          <w:i/>
          <w:iCs/>
          <w:color w:val="1B2A4A"/>
          <w:sz w:val="22"/>
          <w:szCs w:val="22"/>
        </w:rPr>
        <w:t>Mandatory Devolution</w:t>
      </w:r>
    </w:p>
    <w:p w14:paraId="367A91B9" w14:textId="77777777" w:rsidR="00AF3D56" w:rsidRDefault="00000000">
      <w:pPr>
        <w:spacing w:after="120"/>
        <w:ind w:left="431"/>
        <w:jc w:val="both"/>
      </w:pPr>
      <w:r>
        <w:rPr>
          <w:rFonts w:ascii="Garamond" w:eastAsia="Garamond" w:hAnsi="Garamond" w:cs="Garamond"/>
          <w:color w:val="2A2A2A"/>
          <w:sz w:val="22"/>
          <w:szCs w:val="22"/>
        </w:rPr>
        <w:t>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administered by the Elections Panel under Article XI, on one of two paths: a two-year federal remediation commission, or Provisional status. A State in Provisional status retains its existing governing structure and continues under the Statehood Audit cycle; passing the Statehood Audit restores full Statehood immediately, with no additional vote required. Where Provisional status continues for one year without a passed audit, citizens vote, administered by the Elections Panel under Article XI, on the principle of pursuing devolution, on the same terms as §15.4’s voluntary process. An affirmative vote proceeds through negotiation and Senate ratification under §15.4; absent an affirmative vote, the State continues in Provisional status under this section. Sitting senators complete their current elected terms — Senate seats are not vacated — but no new Senate elections may be held while a State remains in Provisional status or after devolution takes effect, until Statehood is restored; existing Assembly members complete their current terms; Article I rights and social state protections continue without interruption. Within 30 days of a State entering Provisional status, the affected State may petition the courts on the sole ground that the audit findings are factually insufficient to establish three consecutive failures; the court reviews only the factual basis; process and timeline are defined by statute.</w:t>
      </w:r>
    </w:p>
    <w:p w14:paraId="173529F2" w14:textId="77777777" w:rsidR="00AF3D56" w:rsidRDefault="00000000">
      <w:pPr>
        <w:spacing w:before="200" w:after="60"/>
        <w:ind w:left="431"/>
      </w:pPr>
      <w:r>
        <w:rPr>
          <w:rFonts w:ascii="Courier New" w:eastAsia="Courier New" w:hAnsi="Courier New" w:cs="Courier New"/>
          <w:b/>
          <w:bCs/>
          <w:color w:val="2A2A2A"/>
          <w:sz w:val="18"/>
          <w:szCs w:val="18"/>
        </w:rPr>
        <w:t xml:space="preserve">§15.4  </w:t>
      </w:r>
      <w:r>
        <w:rPr>
          <w:rFonts w:ascii="Garamond" w:eastAsia="Garamond" w:hAnsi="Garamond" w:cs="Garamond"/>
          <w:i/>
          <w:iCs/>
          <w:color w:val="1B2A4A"/>
          <w:sz w:val="22"/>
          <w:szCs w:val="22"/>
        </w:rPr>
        <w:t>Voluntary Devolution and Merger</w:t>
      </w:r>
    </w:p>
    <w:p w14:paraId="6D96E42E" w14:textId="77777777" w:rsidR="00AF3D56" w:rsidRDefault="00000000">
      <w:pPr>
        <w:spacing w:after="120"/>
        <w:ind w:left="431"/>
        <w:jc w:val="both"/>
      </w:pPr>
      <w:r>
        <w:rPr>
          <w:rFonts w:ascii="Garamond" w:eastAsia="Garamond" w:hAnsi="Garamond" w:cs="Garamond"/>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w:t>
      </w:r>
      <w:r>
        <w:rPr>
          <w:rFonts w:ascii="Garamond" w:eastAsia="Garamond" w:hAnsi="Garamond" w:cs="Garamond"/>
          <w:color w:val="2A2A2A"/>
          <w:sz w:val="22"/>
          <w:szCs w:val="22"/>
        </w:rPr>
        <w:lastRenderedPageBreak/>
        <w:t>Senate approval by 2/3 majority. The agreement specifies asset and liability allocation, transition timeline, constitutional status of successor jurisdictions, fiscal obligations to the Republic, and continuing obligations; it is published to the NRS and legally binding.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14:paraId="50BCAC8D" w14:textId="77777777" w:rsidR="00AF3D56" w:rsidRDefault="00000000">
      <w:pPr>
        <w:spacing w:before="200" w:after="60"/>
        <w:ind w:left="431"/>
      </w:pPr>
      <w:r>
        <w:rPr>
          <w:rFonts w:ascii="Courier New" w:eastAsia="Courier New" w:hAnsi="Courier New" w:cs="Courier New"/>
          <w:b/>
          <w:bCs/>
          <w:color w:val="2A2A2A"/>
          <w:sz w:val="18"/>
          <w:szCs w:val="18"/>
        </w:rPr>
        <w:t xml:space="preserve">§15.5  </w:t>
      </w:r>
      <w:r>
        <w:rPr>
          <w:rFonts w:ascii="Garamond" w:eastAsia="Garamond" w:hAnsi="Garamond" w:cs="Garamond"/>
          <w:i/>
          <w:iCs/>
          <w:color w:val="1B2A4A"/>
          <w:sz w:val="22"/>
          <w:szCs w:val="22"/>
        </w:rPr>
        <w:t>Re-Qualification Pathway</w:t>
      </w:r>
    </w:p>
    <w:p w14:paraId="71347004" w14:textId="77777777" w:rsidR="00AF3D56" w:rsidRDefault="00000000">
      <w:pPr>
        <w:spacing w:after="120"/>
        <w:ind w:left="431"/>
        <w:jc w:val="both"/>
      </w:pPr>
      <w:r>
        <w:rPr>
          <w:rFonts w:ascii="Garamond" w:eastAsia="Garamond" w:hAnsi="Garamond" w:cs="Garamond"/>
          <w:color w:val="2A2A2A"/>
          <w:sz w:val="22"/>
          <w:szCs w:val="22"/>
        </w:rPr>
        <w:t>A Territory resulting from mandatory or voluntary devolution enters the Statehood re-qualification pathway under §15.2 immediately upon the effective date of devolution. No additional political vote is required to begin the pathway. Where a defined geographic subdivision of the Territory separately achieves Statehood under §15.2 or merges with an existing State under §15.4, the remainder continues under this section without interruption or loss of any progress already accrued toward re-qualification.</w:t>
      </w:r>
    </w:p>
    <w:p w14:paraId="03BA3EA5" w14:textId="77777777" w:rsidR="00AF3D56" w:rsidRDefault="00000000">
      <w:pPr>
        <w:spacing w:before="200" w:after="60"/>
        <w:ind w:left="431"/>
      </w:pPr>
      <w:r>
        <w:rPr>
          <w:rFonts w:ascii="Courier New" w:eastAsia="Courier New" w:hAnsi="Courier New" w:cs="Courier New"/>
          <w:b/>
          <w:bCs/>
          <w:color w:val="2A2A2A"/>
          <w:sz w:val="18"/>
          <w:szCs w:val="18"/>
        </w:rPr>
        <w:t xml:space="preserve">§15.6  </w:t>
      </w:r>
      <w:r>
        <w:rPr>
          <w:rFonts w:ascii="Garamond" w:eastAsia="Garamond" w:hAnsi="Garamond" w:cs="Garamond"/>
          <w:i/>
          <w:iCs/>
          <w:color w:val="1B2A4A"/>
          <w:sz w:val="22"/>
          <w:szCs w:val="22"/>
        </w:rPr>
        <w:t>Voluntary Incorporation</w:t>
      </w:r>
    </w:p>
    <w:p w14:paraId="1B01F6B7" w14:textId="77777777" w:rsidR="00AF3D56" w:rsidRDefault="00000000">
      <w:pPr>
        <w:spacing w:after="120"/>
        <w:ind w:left="431"/>
        <w:jc w:val="both"/>
      </w:pPr>
      <w:r>
        <w:rPr>
          <w:rFonts w:ascii="Garamond" w:eastAsia="Garamond" w:hAnsi="Garamond" w:cs="Garamond"/>
          <w:color w:val="2A2A2A"/>
          <w:sz w:val="22"/>
          <w:szCs w:val="22"/>
        </w:rPr>
        <w:t>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§1.19.b before that ratification vote; published JM findings must be given due consideration. Any person with standing may challenge the incorporation before the SC on the ground that the entity systematically violates §1.19.b.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14:paraId="35629BDB" w14:textId="77777777" w:rsidR="00AF3D56" w:rsidRDefault="00000000">
      <w:pPr>
        <w:spacing w:before="200" w:after="60"/>
        <w:ind w:left="431"/>
      </w:pPr>
      <w:r>
        <w:rPr>
          <w:rFonts w:ascii="Courier New" w:eastAsia="Courier New" w:hAnsi="Courier New" w:cs="Courier New"/>
          <w:b/>
          <w:bCs/>
          <w:color w:val="2A2A2A"/>
          <w:sz w:val="18"/>
          <w:szCs w:val="18"/>
        </w:rPr>
        <w:t xml:space="preserve">§15.7  </w:t>
      </w:r>
      <w:r>
        <w:rPr>
          <w:rFonts w:ascii="Garamond" w:eastAsia="Garamond" w:hAnsi="Garamond" w:cs="Garamond"/>
          <w:i/>
          <w:iCs/>
          <w:color w:val="1B2A4A"/>
          <w:sz w:val="22"/>
          <w:szCs w:val="22"/>
        </w:rPr>
        <w:t>State Immutability and Territorial Integrity</w:t>
      </w:r>
    </w:p>
    <w:p w14:paraId="2301DE14" w14:textId="77777777" w:rsidR="00AF3D56" w:rsidRDefault="00000000">
      <w:pPr>
        <w:spacing w:after="120"/>
        <w:ind w:left="431"/>
        <w:jc w:val="both"/>
      </w:pPr>
      <w:r>
        <w:rPr>
          <w:rFonts w:ascii="Garamond" w:eastAsia="Garamond" w:hAnsi="Garamond" w:cs="Garamond"/>
          <w:color w:val="2A2A2A"/>
          <w:sz w:val="22"/>
          <w:szCs w:val="22"/>
        </w:rPr>
        <w:t>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status election under §16.7 constitutes the consent mechanism required by this section for the purposes of indigenous territorial transitions; no additional Popular Ratification is required.</w:t>
      </w:r>
    </w:p>
    <w:p w14:paraId="19B15D9D" w14:textId="77777777" w:rsidR="00AF3D56" w:rsidRDefault="00000000">
      <w:pPr>
        <w:spacing w:before="200" w:after="60"/>
        <w:ind w:left="431"/>
      </w:pPr>
      <w:r>
        <w:rPr>
          <w:rFonts w:ascii="Courier New" w:eastAsia="Courier New" w:hAnsi="Courier New" w:cs="Courier New"/>
          <w:b/>
          <w:bCs/>
          <w:color w:val="2A2A2A"/>
          <w:sz w:val="18"/>
          <w:szCs w:val="18"/>
        </w:rPr>
        <w:t xml:space="preserve">§15.8  </w:t>
      </w:r>
      <w:r>
        <w:rPr>
          <w:rFonts w:ascii="Garamond" w:eastAsia="Garamond" w:hAnsi="Garamond" w:cs="Garamond"/>
          <w:i/>
          <w:iCs/>
          <w:color w:val="1B2A4A"/>
          <w:sz w:val="22"/>
          <w:szCs w:val="22"/>
        </w:rPr>
        <w:t>Local Government</w:t>
      </w:r>
    </w:p>
    <w:p w14:paraId="44611A4A" w14:textId="77777777" w:rsidR="00AF3D56" w:rsidRDefault="00000000">
      <w:pPr>
        <w:spacing w:after="120"/>
        <w:ind w:left="431"/>
        <w:jc w:val="both"/>
      </w:pPr>
      <w:r>
        <w:rPr>
          <w:rFonts w:ascii="Garamond" w:eastAsia="Garamond" w:hAnsi="Garamond" w:cs="Garamond"/>
          <w:color w:val="2A2A2A"/>
          <w:sz w:val="22"/>
          <w:szCs w:val="22"/>
        </w:rPr>
        <w:t>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14:paraId="5C3A62F2" w14:textId="77777777" w:rsidR="00AF3D56" w:rsidRDefault="00000000">
      <w:pPr>
        <w:spacing w:before="200" w:after="60"/>
        <w:ind w:left="431"/>
      </w:pPr>
      <w:r>
        <w:rPr>
          <w:rFonts w:ascii="Courier New" w:eastAsia="Courier New" w:hAnsi="Courier New" w:cs="Courier New"/>
          <w:b/>
          <w:bCs/>
          <w:color w:val="2A2A2A"/>
          <w:sz w:val="18"/>
          <w:szCs w:val="18"/>
        </w:rPr>
        <w:t xml:space="preserve">§15.9  </w:t>
      </w:r>
      <w:r>
        <w:rPr>
          <w:rFonts w:ascii="Garamond" w:eastAsia="Garamond" w:hAnsi="Garamond" w:cs="Garamond"/>
          <w:i/>
          <w:iCs/>
          <w:color w:val="1B2A4A"/>
          <w:sz w:val="22"/>
          <w:szCs w:val="22"/>
        </w:rPr>
        <w:t>Voluntary State Independence</w:t>
      </w:r>
    </w:p>
    <w:p w14:paraId="46F2C47E" w14:textId="77777777" w:rsidR="00AF3D56" w:rsidRDefault="00000000">
      <w:pPr>
        <w:spacing w:after="120"/>
        <w:ind w:left="431"/>
        <w:jc w:val="both"/>
      </w:pPr>
      <w:r>
        <w:rPr>
          <w:rFonts w:ascii="Garamond" w:eastAsia="Garamond" w:hAnsi="Garamond" w:cs="Garamond"/>
          <w:color w:val="2A2A2A"/>
          <w:sz w:val="22"/>
          <w:szCs w:val="22"/>
        </w:rPr>
        <w:t xml:space="preserve">A State may seek independence from the Republic through a two-stage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election is irrevocable from the moment of publication. The Republic may not prefer, discourage, or offer inducements toward any independence petition or referendum; the Republic </w:t>
      </w:r>
      <w:r>
        <w:rPr>
          <w:rFonts w:ascii="Garamond" w:eastAsia="Garamond" w:hAnsi="Garamond" w:cs="Garamond"/>
          <w:color w:val="2A2A2A"/>
          <w:sz w:val="22"/>
          <w:szCs w:val="22"/>
        </w:rPr>
        <w:lastRenderedPageBreak/>
        <w:t>must provide factual information about the process upon request. Stage Two requires both chambers to hold a concurrent ratification vote within 90 days of NRS publication; Assembly members elected from districts within the petitioning State and senators whose allocation derives from the petitioning State's population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w:t>
      </w:r>
    </w:p>
    <w:p w14:paraId="6A68E2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 — Indigenous Sovereignty</w:t>
      </w:r>
    </w:p>
    <w:p w14:paraId="54D1A1D2" w14:textId="77777777" w:rsidR="00AF3D56" w:rsidRDefault="00000000">
      <w:pPr>
        <w:spacing w:before="200" w:after="60"/>
        <w:ind w:left="431"/>
      </w:pPr>
      <w:r>
        <w:rPr>
          <w:rFonts w:ascii="Courier New" w:eastAsia="Courier New" w:hAnsi="Courier New" w:cs="Courier New"/>
          <w:b/>
          <w:bCs/>
          <w:color w:val="2A2A2A"/>
          <w:sz w:val="18"/>
          <w:szCs w:val="18"/>
        </w:rPr>
        <w:t xml:space="preserve">§16.1  </w:t>
      </w:r>
      <w:r>
        <w:rPr>
          <w:rFonts w:ascii="Garamond" w:eastAsia="Garamond" w:hAnsi="Garamond" w:cs="Garamond"/>
          <w:i/>
          <w:iCs/>
          <w:color w:val="1B2A4A"/>
          <w:sz w:val="22"/>
          <w:szCs w:val="22"/>
        </w:rPr>
        <w:t>Acknowledgment of Prior Sovereignty</w:t>
      </w:r>
    </w:p>
    <w:p w14:paraId="0939DCD8" w14:textId="77777777" w:rsidR="00AF3D56" w:rsidRDefault="00000000">
      <w:pPr>
        <w:spacing w:after="120"/>
        <w:ind w:left="431"/>
        <w:jc w:val="both"/>
      </w:pPr>
      <w:r>
        <w:rPr>
          <w:rFonts w:ascii="Garamond" w:eastAsia="Garamond" w:hAnsi="Garamond" w:cs="Garamond"/>
          <w:color w:val="2A2A2A"/>
          <w:sz w:val="22"/>
          <w:szCs w:val="22"/>
        </w:rPr>
        <w:t>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14:paraId="0BD9FEFF" w14:textId="77777777" w:rsidR="00AF3D56" w:rsidRDefault="00000000">
      <w:pPr>
        <w:spacing w:before="200" w:after="60"/>
        <w:ind w:left="431"/>
      </w:pPr>
      <w:r>
        <w:rPr>
          <w:rFonts w:ascii="Courier New" w:eastAsia="Courier New" w:hAnsi="Courier New" w:cs="Courier New"/>
          <w:b/>
          <w:bCs/>
          <w:color w:val="2A2A2A"/>
          <w:sz w:val="18"/>
          <w:szCs w:val="18"/>
        </w:rPr>
        <w:t xml:space="preserve">§16.2  </w:t>
      </w:r>
      <w:r>
        <w:rPr>
          <w:rFonts w:ascii="Garamond" w:eastAsia="Garamond" w:hAnsi="Garamond" w:cs="Garamond"/>
          <w:i/>
          <w:iCs/>
          <w:color w:val="1B2A4A"/>
          <w:sz w:val="22"/>
          <w:szCs w:val="22"/>
        </w:rPr>
        <w:t>Compact Formation</w:t>
      </w:r>
    </w:p>
    <w:p w14:paraId="45183CC6" w14:textId="77777777" w:rsidR="00AF3D56" w:rsidRDefault="00000000">
      <w:pPr>
        <w:spacing w:after="120"/>
        <w:ind w:left="431"/>
        <w:jc w:val="both"/>
      </w:pPr>
      <w:r>
        <w:rPr>
          <w:rFonts w:ascii="Garamond" w:eastAsia="Garamond" w:hAnsi="Garamond" w:cs="Garamond"/>
          <w:color w:val="2A2A2A"/>
          <w:sz w:val="22"/>
          <w:szCs w:val="22"/>
        </w:rPr>
        <w:t>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14:paraId="4DE0645A" w14:textId="77777777" w:rsidR="00AF3D56" w:rsidRDefault="00000000">
      <w:pPr>
        <w:spacing w:before="200" w:after="60"/>
        <w:ind w:left="431"/>
      </w:pPr>
      <w:r>
        <w:rPr>
          <w:rFonts w:ascii="Courier New" w:eastAsia="Courier New" w:hAnsi="Courier New" w:cs="Courier New"/>
          <w:b/>
          <w:bCs/>
          <w:color w:val="2A2A2A"/>
          <w:sz w:val="18"/>
          <w:szCs w:val="18"/>
        </w:rPr>
        <w:t xml:space="preserve">§16.3  </w:t>
      </w:r>
      <w:r>
        <w:rPr>
          <w:rFonts w:ascii="Garamond" w:eastAsia="Garamond" w:hAnsi="Garamond" w:cs="Garamond"/>
          <w:i/>
          <w:iCs/>
          <w:color w:val="1B2A4A"/>
          <w:sz w:val="22"/>
          <w:szCs w:val="22"/>
        </w:rPr>
        <w:t>Rights and Governance in Compact Territories</w:t>
      </w:r>
    </w:p>
    <w:p w14:paraId="3476A42B" w14:textId="77777777" w:rsidR="00AF3D56" w:rsidRDefault="00000000">
      <w:pPr>
        <w:spacing w:after="120"/>
        <w:ind w:left="431"/>
        <w:jc w:val="both"/>
      </w:pPr>
      <w:r>
        <w:rPr>
          <w:rFonts w:ascii="Garamond" w:eastAsia="Garamond" w:hAnsi="Garamond" w:cs="Garamond"/>
          <w:color w:val="2A2A2A"/>
          <w:sz w:val="22"/>
          <w:szCs w:val="22"/>
        </w:rPr>
        <w:t>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14:paraId="4684C66F" w14:textId="77777777" w:rsidR="00AF3D56" w:rsidRDefault="00000000">
      <w:pPr>
        <w:spacing w:before="200" w:after="60"/>
        <w:ind w:left="431"/>
      </w:pPr>
      <w:r>
        <w:rPr>
          <w:rFonts w:ascii="Courier New" w:eastAsia="Courier New" w:hAnsi="Courier New" w:cs="Courier New"/>
          <w:b/>
          <w:bCs/>
          <w:color w:val="2A2A2A"/>
          <w:sz w:val="18"/>
          <w:szCs w:val="18"/>
        </w:rPr>
        <w:t xml:space="preserve">§16.4  </w:t>
      </w:r>
      <w:r>
        <w:rPr>
          <w:rFonts w:ascii="Garamond" w:eastAsia="Garamond" w:hAnsi="Garamond" w:cs="Garamond"/>
          <w:i/>
          <w:iCs/>
          <w:color w:val="1B2A4A"/>
          <w:sz w:val="22"/>
          <w:szCs w:val="22"/>
        </w:rPr>
        <w:t>Compact Administration and Continuity</w:t>
      </w:r>
    </w:p>
    <w:p w14:paraId="6EBD6EBB" w14:textId="77777777" w:rsidR="00AF3D56" w:rsidRDefault="00000000">
      <w:pPr>
        <w:spacing w:after="120"/>
        <w:ind w:left="431"/>
        <w:jc w:val="both"/>
      </w:pPr>
      <w:r>
        <w:rPr>
          <w:rFonts w:ascii="Garamond" w:eastAsia="Garamond" w:hAnsi="Garamond" w:cs="Garamond"/>
          <w:color w:val="2A2A2A"/>
          <w:sz w:val="22"/>
          <w:szCs w:val="22"/>
        </w:rPr>
        <w:t>Each compact establishes a working mechanism for implementation and day-to-day administration in a form the parties agree. The Legat Consul designates a ministerial counterpart within the Legat Consul’s office for each compact or treaty relationship recognized under this Article; this designation is published to the NRS. Disputes not resolved through the compact’s working mechanism are referred to independent adjudication on terms the compact specifies. The compact’s arbitration mechanism is the final forum for disputes between the Republic and the Nation arising from compact administration, including constitutional questions of compact interpretation; neither party may seek review of an arbitration determination in the Republic’s courts. The Executive Monitor audits the Republic’s compliance with its compact obligations annually and publishes findings to the NRS. Compact terms may be modified only by mutual agreement, negotiated by the Legat Consul and ratified by the Senate under §3.6. Compacts are reviewed on a schedule defined in their terms with a minimum review every 20 years; either party may request a review outside that schedule. A compact continues in force until the Nation files a valid status election under §16.7. For Territorial Integration, the compact ends upon ratification of the incorporation agreement under §15.6. For Full Sovereign Independence, the compact ends upon ratification of the independence treaty under §16.7, or upon the provisional framework taking effect under §16.7.a if no treaty is concluded.</w:t>
      </w:r>
    </w:p>
    <w:p w14:paraId="744DF70A"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§16.5  </w:t>
      </w:r>
      <w:r>
        <w:rPr>
          <w:rFonts w:ascii="Garamond" w:eastAsia="Garamond" w:hAnsi="Garamond" w:cs="Garamond"/>
          <w:i/>
          <w:iCs/>
          <w:color w:val="1B2A4A"/>
          <w:sz w:val="22"/>
          <w:szCs w:val="22"/>
        </w:rPr>
        <w:t>Federal Obligations and Emergency Rights</w:t>
      </w:r>
    </w:p>
    <w:p w14:paraId="6E0B2541" w14:textId="77777777" w:rsidR="00AF3D56" w:rsidRDefault="00000000">
      <w:pPr>
        <w:spacing w:after="120"/>
        <w:ind w:left="431"/>
        <w:jc w:val="both"/>
      </w:pPr>
      <w:r>
        <w:rPr>
          <w:rFonts w:ascii="Garamond" w:eastAsia="Garamond" w:hAnsi="Garamond" w:cs="Garamond"/>
          <w:color w:val="2A2A2A"/>
          <w:sz w:val="22"/>
          <w:szCs w:val="22"/>
        </w:rPr>
        <w:t>The Republic holds affirmative obligations to compact territories: federal education funding, healthcare access, infrastructure investment, and emergency response. These obligations are enforceable by the Nation through the compact’s dispute resolution mechanism. Any resident of compact territory who believes an Article I right has been violated may bring an Emergency Rights Writ directly to the SC, bypassing all lower courts and the compact’s dispute resolution mechanism; the SC must rule within 7 days under its original jurisdiction in §4.5; the extension and interim protective order provisions of §4.5 apply. Indigenous Nation membership and Republic citizenship are compatible and independent statuses; dual status is the constitutional default.</w:t>
      </w:r>
    </w:p>
    <w:p w14:paraId="3CA11ABC" w14:textId="77777777" w:rsidR="00AF3D56" w:rsidRDefault="00000000">
      <w:pPr>
        <w:spacing w:before="200" w:after="60"/>
        <w:ind w:left="431"/>
      </w:pPr>
      <w:r>
        <w:rPr>
          <w:rFonts w:ascii="Courier New" w:eastAsia="Courier New" w:hAnsi="Courier New" w:cs="Courier New"/>
          <w:b/>
          <w:bCs/>
          <w:color w:val="2A2A2A"/>
          <w:sz w:val="18"/>
          <w:szCs w:val="18"/>
        </w:rPr>
        <w:t xml:space="preserve">§16.6  </w:t>
      </w:r>
      <w:r>
        <w:rPr>
          <w:rFonts w:ascii="Garamond" w:eastAsia="Garamond" w:hAnsi="Garamond" w:cs="Garamond"/>
          <w:i/>
          <w:iCs/>
          <w:color w:val="1B2A4A"/>
          <w:sz w:val="22"/>
          <w:szCs w:val="22"/>
        </w:rPr>
        <w:t>Treaty Supremacy and Continuity</w:t>
      </w:r>
    </w:p>
    <w:p w14:paraId="0B8B7C56" w14:textId="77777777" w:rsidR="00AF3D56" w:rsidRDefault="00000000">
      <w:pPr>
        <w:spacing w:after="120"/>
        <w:ind w:left="431"/>
        <w:jc w:val="both"/>
      </w:pPr>
      <w:r>
        <w:rPr>
          <w:rFonts w:ascii="Garamond" w:eastAsia="Garamond" w:hAnsi="Garamond" w:cs="Garamond"/>
          <w:color w:val="2A2A2A"/>
          <w:sz w:val="22"/>
          <w:szCs w:val="22"/>
        </w:rPr>
        <w:t>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the ministerial counterpart designated under §16.4 administers the treaty’s institutional functions on an interim basis. A treaty alone does not constitute a compact under this Article; the protections specific to compacts under §16.3 and §16.4 apply only where the Nation holds a compact, and a Nation whose relationship with the Republic rests solely on a predecessor treaty may petition for a compact under §16.2 at any time, on the same terms as a Nation with no prior treaty.</w:t>
      </w:r>
    </w:p>
    <w:p w14:paraId="012DA126" w14:textId="77777777" w:rsidR="00AF3D56" w:rsidRDefault="00000000">
      <w:pPr>
        <w:spacing w:before="200" w:after="60"/>
        <w:ind w:left="431"/>
      </w:pPr>
      <w:r>
        <w:rPr>
          <w:rFonts w:ascii="Courier New" w:eastAsia="Courier New" w:hAnsi="Courier New" w:cs="Courier New"/>
          <w:b/>
          <w:bCs/>
          <w:color w:val="2A2A2A"/>
          <w:sz w:val="18"/>
          <w:szCs w:val="18"/>
        </w:rPr>
        <w:t xml:space="preserve">§16.7  </w:t>
      </w:r>
      <w:r>
        <w:rPr>
          <w:rFonts w:ascii="Garamond" w:eastAsia="Garamond" w:hAnsi="Garamond" w:cs="Garamond"/>
          <w:i/>
          <w:iCs/>
          <w:color w:val="1B2A4A"/>
          <w:sz w:val="22"/>
          <w:szCs w:val="22"/>
        </w:rPr>
        <w:t>Indigenous Nation Status Elections</w:t>
      </w:r>
    </w:p>
    <w:p w14:paraId="4E8BE13B" w14:textId="77777777" w:rsidR="00AF3D56" w:rsidRDefault="00000000">
      <w:pPr>
        <w:spacing w:after="120"/>
        <w:ind w:left="431"/>
        <w:jc w:val="both"/>
      </w:pPr>
      <w:r>
        <w:rPr>
          <w:rFonts w:ascii="Garamond" w:eastAsia="Garamond" w:hAnsi="Garamond" w:cs="Garamond"/>
          <w:color w:val="2A2A2A"/>
          <w:sz w:val="22"/>
          <w:szCs w:val="22"/>
        </w:rPr>
        <w:t>An indigenous nation recognized under this Article holds the constitutional right to initiate a status transition through its own democratic or traditional governance process. Three status options are available: (a) Continued Status — the Nation’s existing compact or treaty relationship under this Article continues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the Legislature ratifies the treaty by 2/3 of both chambers.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14:paraId="674C77A3" w14:textId="77777777" w:rsidR="00AF3D56" w:rsidRDefault="00000000">
      <w:pPr>
        <w:spacing w:before="200" w:after="60"/>
        <w:ind w:left="431"/>
      </w:pPr>
      <w:r>
        <w:rPr>
          <w:rFonts w:ascii="Courier New" w:eastAsia="Courier New" w:hAnsi="Courier New" w:cs="Courier New"/>
          <w:b/>
          <w:bCs/>
          <w:color w:val="2A2A2A"/>
          <w:sz w:val="18"/>
          <w:szCs w:val="18"/>
        </w:rPr>
        <w:t xml:space="preserve">§16.7.a  </w:t>
      </w:r>
      <w:r>
        <w:rPr>
          <w:rFonts w:ascii="Garamond" w:eastAsia="Garamond" w:hAnsi="Garamond" w:cs="Garamond"/>
          <w:i/>
          <w:iCs/>
          <w:color w:val="1B2A4A"/>
          <w:sz w:val="22"/>
          <w:szCs w:val="22"/>
        </w:rPr>
        <w:t>Status Election Process</w:t>
      </w:r>
    </w:p>
    <w:p w14:paraId="7B96A066" w14:textId="77777777" w:rsidR="00AF3D56" w:rsidRDefault="00000000">
      <w:pPr>
        <w:spacing w:after="120"/>
        <w:ind w:left="431"/>
        <w:jc w:val="both"/>
      </w:pPr>
      <w:r>
        <w:rPr>
          <w:rFonts w:ascii="Garamond" w:eastAsia="Garamond" w:hAnsi="Garamond" w:cs="Garamond"/>
          <w:color w:val="2A2A2A"/>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An election of Territorial Integration constitutes the principle step required by §15.6; once published, the Nation and the Legislature proceed directly to negotiation of the incorporation agreement under §15.6, which the Legislature ratifies by 2/3 of both chambers. A status election is irrevocable — a Nation that elects Territorial Integration or Full Sovereign Independence may not subsequently return to Article XVI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status </w:t>
      </w:r>
      <w:r>
        <w:rPr>
          <w:rFonts w:ascii="Garamond" w:eastAsia="Garamond" w:hAnsi="Garamond" w:cs="Garamond"/>
          <w:color w:val="2A2A2A"/>
          <w:sz w:val="22"/>
          <w:szCs w:val="22"/>
        </w:rPr>
        <w:lastRenderedPageBreak/>
        <w:t>has no special pathway back to it;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Article XVI status. Where no treaty is concluded within 24 months following a status election of Full Sovereign Independence, either party may propose one 12-month extension by mutual agreement published to the NRS. Absent a concluded treaty or a mutually agreed extension, independence takes effect with a provisional framework: existing compact terms govern borders, trade, and infrastructure on a provisional basis until replaced by treaty; citizenship arrangements follow §5.1; the Legat Consul publishes the provisional framework to the NRS. Either party may petition the SC to resolve specific disputes within the provisional framework. At ratification, the Republic must formally notify all recognized indigenous nations of their rights under §16.7.</w:t>
      </w:r>
    </w:p>
    <w:p w14:paraId="5C94506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 — Constitutional Amendments</w:t>
      </w:r>
    </w:p>
    <w:p w14:paraId="40DC85A9" w14:textId="77777777" w:rsidR="00AF3D56" w:rsidRDefault="00000000">
      <w:pPr>
        <w:spacing w:before="200" w:after="60"/>
        <w:ind w:left="431"/>
      </w:pPr>
      <w:r>
        <w:rPr>
          <w:rFonts w:ascii="Courier New" w:eastAsia="Courier New" w:hAnsi="Courier New" w:cs="Courier New"/>
          <w:b/>
          <w:bCs/>
          <w:color w:val="2A2A2A"/>
          <w:sz w:val="18"/>
          <w:szCs w:val="18"/>
        </w:rPr>
        <w:t xml:space="preserve">§17.1  </w:t>
      </w:r>
      <w:r>
        <w:rPr>
          <w:rFonts w:ascii="Garamond" w:eastAsia="Garamond" w:hAnsi="Garamond" w:cs="Garamond"/>
          <w:i/>
          <w:iCs/>
          <w:color w:val="1B2A4A"/>
          <w:sz w:val="22"/>
          <w:szCs w:val="22"/>
        </w:rPr>
        <w:t>Amendment Paths</w:t>
      </w:r>
    </w:p>
    <w:p w14:paraId="670077DD" w14:textId="77777777" w:rsidR="00AF3D56" w:rsidRDefault="00000000">
      <w:pPr>
        <w:spacing w:after="120"/>
        <w:ind w:left="431"/>
        <w:jc w:val="both"/>
      </w:pPr>
      <w:r>
        <w:rPr>
          <w:rFonts w:ascii="Garamond" w:eastAsia="Garamond" w:hAnsi="Garamond" w:cs="Garamond"/>
          <w:color w:val="2A2A2A"/>
          <w:sz w:val="22"/>
          <w:szCs w:val="22"/>
        </w:rPr>
        <w:t>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(§9.10),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14:paraId="18034077" w14:textId="77777777" w:rsidR="00AF3D56" w:rsidRDefault="00000000">
      <w:pPr>
        <w:spacing w:before="200" w:after="60"/>
        <w:ind w:left="431"/>
      </w:pPr>
      <w:r>
        <w:rPr>
          <w:rFonts w:ascii="Courier New" w:eastAsia="Courier New" w:hAnsi="Courier New" w:cs="Courier New"/>
          <w:b/>
          <w:bCs/>
          <w:color w:val="2A2A2A"/>
          <w:sz w:val="18"/>
          <w:szCs w:val="18"/>
        </w:rPr>
        <w:t xml:space="preserve">§17.2  </w:t>
      </w:r>
      <w:r>
        <w:rPr>
          <w:rFonts w:ascii="Garamond" w:eastAsia="Garamond" w:hAnsi="Garamond" w:cs="Garamond"/>
          <w:i/>
          <w:iCs/>
          <w:color w:val="1B2A4A"/>
          <w:sz w:val="22"/>
          <w:szCs w:val="22"/>
        </w:rPr>
        <w:t>No Executive Veto; Amendment Takes Effect</w:t>
      </w:r>
    </w:p>
    <w:p w14:paraId="4FCCCD47" w14:textId="77777777" w:rsidR="00AF3D56" w:rsidRDefault="00000000">
      <w:pPr>
        <w:spacing w:after="120"/>
        <w:ind w:left="431"/>
        <w:jc w:val="both"/>
      </w:pPr>
      <w:r>
        <w:rPr>
          <w:rFonts w:ascii="Garamond" w:eastAsia="Garamond" w:hAnsi="Garamond" w:cs="Garamond"/>
          <w:color w:val="2A2A2A"/>
          <w:sz w:val="22"/>
          <w:szCs w:val="22"/>
        </w:rPr>
        <w:t>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14:paraId="7EEBF189" w14:textId="77777777" w:rsidR="00AF3D56" w:rsidRDefault="00000000">
      <w:pPr>
        <w:spacing w:before="200" w:after="60"/>
        <w:ind w:left="431"/>
      </w:pPr>
      <w:r>
        <w:rPr>
          <w:rFonts w:ascii="Courier New" w:eastAsia="Courier New" w:hAnsi="Courier New" w:cs="Courier New"/>
          <w:b/>
          <w:bCs/>
          <w:color w:val="2A2A2A"/>
          <w:sz w:val="18"/>
          <w:szCs w:val="18"/>
        </w:rPr>
        <w:t xml:space="preserve">§17.3  </w:t>
      </w:r>
      <w:r>
        <w:rPr>
          <w:rFonts w:ascii="Garamond" w:eastAsia="Garamond" w:hAnsi="Garamond" w:cs="Garamond"/>
          <w:i/>
          <w:iCs/>
          <w:color w:val="1B2A4A"/>
          <w:sz w:val="22"/>
          <w:szCs w:val="22"/>
        </w:rPr>
        <w:t>Amendment Consistency and Supremacy</w:t>
      </w:r>
    </w:p>
    <w:p w14:paraId="3C9DFF51" w14:textId="77777777" w:rsidR="00AF3D56" w:rsidRDefault="00000000">
      <w:pPr>
        <w:spacing w:after="120"/>
        <w:ind w:left="431"/>
        <w:jc w:val="both"/>
      </w:pPr>
      <w:r>
        <w:rPr>
          <w:rFonts w:ascii="Garamond" w:eastAsia="Garamond" w:hAnsi="Garamond" w:cs="Garamond"/>
          <w:color w:val="2A2A2A"/>
          <w:sz w:val="22"/>
          <w:szCs w:val="22"/>
        </w:rPr>
        <w:t>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under its original jurisdiction in §4.5 on petition of any person with standing;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under its original jurisdiction in §4.5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14:paraId="1458AB82" w14:textId="77777777" w:rsidR="00AF3D56" w:rsidRDefault="00000000">
      <w:pPr>
        <w:spacing w:before="200" w:after="60"/>
        <w:ind w:left="431"/>
      </w:pPr>
      <w:r>
        <w:rPr>
          <w:rFonts w:ascii="Courier New" w:eastAsia="Courier New" w:hAnsi="Courier New" w:cs="Courier New"/>
          <w:b/>
          <w:bCs/>
          <w:color w:val="2A2A2A"/>
          <w:sz w:val="18"/>
          <w:szCs w:val="18"/>
        </w:rPr>
        <w:t xml:space="preserve">§17.4  </w:t>
      </w:r>
      <w:r>
        <w:rPr>
          <w:rFonts w:ascii="Garamond" w:eastAsia="Garamond" w:hAnsi="Garamond" w:cs="Garamond"/>
          <w:i/>
          <w:iCs/>
          <w:color w:val="1B2A4A"/>
          <w:sz w:val="22"/>
          <w:szCs w:val="22"/>
        </w:rPr>
        <w:t>Supremacy of This Constitution</w:t>
      </w:r>
    </w:p>
    <w:p w14:paraId="28B84EFA" w14:textId="77777777" w:rsidR="00AF3D56" w:rsidRDefault="00000000">
      <w:pPr>
        <w:spacing w:after="120"/>
        <w:ind w:left="431"/>
        <w:jc w:val="both"/>
      </w:pPr>
      <w:r>
        <w:rPr>
          <w:rFonts w:ascii="Garamond" w:eastAsia="Garamond" w:hAnsi="Garamond" w:cs="Garamond"/>
          <w:color w:val="2A2A2A"/>
          <w:sz w:val="22"/>
          <w:szCs w:val="22"/>
        </w:rPr>
        <w:lastRenderedPageBreak/>
        <w:t>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14:paraId="41BAA1D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XVIII — Federal Property and National Trust</w:t>
      </w:r>
    </w:p>
    <w:p w14:paraId="2FE07B58" w14:textId="77777777" w:rsidR="00AF3D56" w:rsidRDefault="00000000">
      <w:pPr>
        <w:spacing w:before="200" w:after="60"/>
        <w:ind w:left="431"/>
      </w:pPr>
      <w:r>
        <w:rPr>
          <w:rFonts w:ascii="Courier New" w:eastAsia="Courier New" w:hAnsi="Courier New" w:cs="Courier New"/>
          <w:b/>
          <w:bCs/>
          <w:color w:val="2A2A2A"/>
          <w:sz w:val="18"/>
          <w:szCs w:val="18"/>
        </w:rPr>
        <w:t xml:space="preserve">§18.1  </w:t>
      </w:r>
      <w:r>
        <w:rPr>
          <w:rFonts w:ascii="Garamond" w:eastAsia="Garamond" w:hAnsi="Garamond" w:cs="Garamond"/>
          <w:i/>
          <w:iCs/>
          <w:color w:val="1B2A4A"/>
          <w:sz w:val="22"/>
          <w:szCs w:val="22"/>
        </w:rPr>
        <w:t>The Use Doctrine</w:t>
      </w:r>
    </w:p>
    <w:p w14:paraId="51E8B390" w14:textId="77777777" w:rsidR="00AF3D56" w:rsidRDefault="00000000">
      <w:pPr>
        <w:spacing w:after="120"/>
        <w:ind w:left="431"/>
        <w:jc w:val="both"/>
      </w:pPr>
      <w:r>
        <w:rPr>
          <w:rFonts w:ascii="Garamond" w:eastAsia="Garamond" w:hAnsi="Garamond" w:cs="Garamond"/>
          <w:color w:val="2A2A2A"/>
          <w:sz w:val="22"/>
          <w:szCs w:val="22"/>
        </w:rPr>
        <w:t>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14:paraId="673D77EC" w14:textId="77777777" w:rsidR="00AF3D56" w:rsidRDefault="00000000">
      <w:pPr>
        <w:spacing w:before="200" w:after="60"/>
        <w:ind w:left="431"/>
      </w:pPr>
      <w:r>
        <w:rPr>
          <w:rFonts w:ascii="Courier New" w:eastAsia="Courier New" w:hAnsi="Courier New" w:cs="Courier New"/>
          <w:b/>
          <w:bCs/>
          <w:color w:val="2A2A2A"/>
          <w:sz w:val="18"/>
          <w:szCs w:val="18"/>
        </w:rPr>
        <w:t xml:space="preserve">§18.2  </w:t>
      </w:r>
      <w:r>
        <w:rPr>
          <w:rFonts w:ascii="Garamond" w:eastAsia="Garamond" w:hAnsi="Garamond" w:cs="Garamond"/>
          <w:i/>
          <w:iCs/>
          <w:color w:val="1B2A4A"/>
          <w:sz w:val="22"/>
          <w:szCs w:val="22"/>
        </w:rPr>
        <w:t>Seat of Government</w:t>
      </w:r>
    </w:p>
    <w:p w14:paraId="3C2E860E" w14:textId="77777777" w:rsidR="00AF3D56" w:rsidRDefault="00000000">
      <w:pPr>
        <w:spacing w:after="120"/>
        <w:ind w:left="431"/>
        <w:jc w:val="both"/>
      </w:pPr>
      <w:r>
        <w:rPr>
          <w:rFonts w:ascii="Garamond" w:eastAsia="Garamond" w:hAnsi="Garamond" w:cs="Garamond"/>
          <w:color w:val="2A2A2A"/>
          <w:sz w:val="22"/>
          <w:szCs w:val="22"/>
        </w:rPr>
        <w:t>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14:paraId="5FD9A173" w14:textId="77777777" w:rsidR="00AF3D56" w:rsidRDefault="00000000">
      <w:pPr>
        <w:spacing w:before="200" w:after="60"/>
        <w:ind w:left="431"/>
      </w:pPr>
      <w:r>
        <w:rPr>
          <w:rFonts w:ascii="Courier New" w:eastAsia="Courier New" w:hAnsi="Courier New" w:cs="Courier New"/>
          <w:b/>
          <w:bCs/>
          <w:color w:val="2A2A2A"/>
          <w:sz w:val="18"/>
          <w:szCs w:val="18"/>
        </w:rPr>
        <w:t xml:space="preserve">§18.3  </w:t>
      </w:r>
      <w:r>
        <w:rPr>
          <w:rFonts w:ascii="Garamond" w:eastAsia="Garamond" w:hAnsi="Garamond" w:cs="Garamond"/>
          <w:i/>
          <w:iCs/>
          <w:color w:val="1B2A4A"/>
          <w:sz w:val="22"/>
          <w:szCs w:val="22"/>
        </w:rPr>
        <w:t>Operational Use Rights</w:t>
      </w:r>
    </w:p>
    <w:p w14:paraId="3B1394DD" w14:textId="77777777" w:rsidR="00AF3D56" w:rsidRDefault="00000000">
      <w:pPr>
        <w:spacing w:after="120"/>
        <w:ind w:left="431"/>
        <w:jc w:val="both"/>
      </w:pPr>
      <w:r>
        <w:rPr>
          <w:rFonts w:ascii="Garamond" w:eastAsia="Garamond" w:hAnsi="Garamond" w:cs="Garamond"/>
          <w:color w:val="2A2A2A"/>
          <w:sz w:val="22"/>
          <w:szCs w:val="22"/>
        </w:rPr>
        <w:t>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14:paraId="7942C530" w14:textId="77777777" w:rsidR="00AF3D56" w:rsidRDefault="00000000">
      <w:pPr>
        <w:spacing w:before="200" w:after="60"/>
        <w:ind w:left="431"/>
      </w:pPr>
      <w:r>
        <w:rPr>
          <w:rFonts w:ascii="Courier New" w:eastAsia="Courier New" w:hAnsi="Courier New" w:cs="Courier New"/>
          <w:b/>
          <w:bCs/>
          <w:color w:val="2A2A2A"/>
          <w:sz w:val="18"/>
          <w:szCs w:val="18"/>
        </w:rPr>
        <w:t xml:space="preserve">§18.4  </w:t>
      </w:r>
      <w:r>
        <w:rPr>
          <w:rFonts w:ascii="Garamond" w:eastAsia="Garamond" w:hAnsi="Garamond" w:cs="Garamond"/>
          <w:i/>
          <w:iCs/>
          <w:color w:val="1B2A4A"/>
          <w:sz w:val="22"/>
          <w:szCs w:val="22"/>
        </w:rPr>
        <w:t>The National Trust</w:t>
      </w:r>
    </w:p>
    <w:p w14:paraId="1193B9A7" w14:textId="77777777" w:rsidR="00AF3D56" w:rsidRDefault="00000000">
      <w:pPr>
        <w:spacing w:after="120"/>
        <w:ind w:left="431"/>
        <w:jc w:val="both"/>
      </w:pPr>
      <w:r>
        <w:rPr>
          <w:rFonts w:ascii="Garamond" w:eastAsia="Garamond" w:hAnsi="Garamond" w:cs="Garamond"/>
          <w:color w:val="2A2A2A"/>
          <w:sz w:val="22"/>
          <w:szCs w:val="22"/>
        </w:rPr>
        <w:t>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of votes cast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14:paraId="6B45EED7" w14:textId="77777777" w:rsidR="00AF3D56" w:rsidRDefault="00000000">
      <w:pPr>
        <w:spacing w:before="200" w:after="60"/>
        <w:ind w:left="431"/>
      </w:pPr>
      <w:r>
        <w:rPr>
          <w:rFonts w:ascii="Courier New" w:eastAsia="Courier New" w:hAnsi="Courier New" w:cs="Courier New"/>
          <w:b/>
          <w:bCs/>
          <w:color w:val="2A2A2A"/>
          <w:sz w:val="18"/>
          <w:szCs w:val="18"/>
        </w:rPr>
        <w:t xml:space="preserve">§18.5  </w:t>
      </w:r>
      <w:r>
        <w:rPr>
          <w:rFonts w:ascii="Garamond" w:eastAsia="Garamond" w:hAnsi="Garamond" w:cs="Garamond"/>
          <w:i/>
          <w:iCs/>
          <w:color w:val="1B2A4A"/>
          <w:sz w:val="22"/>
          <w:szCs w:val="22"/>
        </w:rPr>
        <w:t>Federal Property in Territories</w:t>
      </w:r>
    </w:p>
    <w:p w14:paraId="74E8B0A1" w14:textId="77777777" w:rsidR="00AF3D56" w:rsidRDefault="00000000">
      <w:pPr>
        <w:spacing w:after="120"/>
        <w:ind w:left="431"/>
        <w:jc w:val="both"/>
      </w:pPr>
      <w:r>
        <w:rPr>
          <w:rFonts w:ascii="Garamond" w:eastAsia="Garamond" w:hAnsi="Garamond" w:cs="Garamond"/>
          <w:color w:val="2A2A2A"/>
          <w:sz w:val="22"/>
          <w:szCs w:val="22"/>
        </w:rPr>
        <w:lastRenderedPageBreak/>
        <w:t>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14:paraId="1DCCFA5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XIX — Transition and Ratification</w:t>
      </w:r>
    </w:p>
    <w:p w14:paraId="5BAD8E96" w14:textId="77777777" w:rsidR="00AF3D56" w:rsidRDefault="00000000">
      <w:pPr>
        <w:spacing w:before="200" w:after="60"/>
        <w:ind w:left="431"/>
      </w:pPr>
      <w:r>
        <w:rPr>
          <w:rFonts w:ascii="Courier New" w:eastAsia="Courier New" w:hAnsi="Courier New" w:cs="Courier New"/>
          <w:b/>
          <w:bCs/>
          <w:color w:val="2A2A2A"/>
          <w:sz w:val="18"/>
          <w:szCs w:val="18"/>
        </w:rPr>
        <w:t xml:space="preserve">§19.1  </w:t>
      </w:r>
      <w:r>
        <w:rPr>
          <w:rFonts w:ascii="Garamond" w:eastAsia="Garamond" w:hAnsi="Garamond" w:cs="Garamond"/>
          <w:i/>
          <w:iCs/>
          <w:color w:val="1B2A4A"/>
          <w:sz w:val="22"/>
          <w:szCs w:val="22"/>
        </w:rPr>
        <w:t>Activation Threshold and Ratification</w:t>
      </w:r>
    </w:p>
    <w:p w14:paraId="2C43F14D" w14:textId="77777777" w:rsidR="00AF3D56" w:rsidRDefault="00000000">
      <w:pPr>
        <w:spacing w:after="120"/>
        <w:ind w:left="431"/>
        <w:jc w:val="both"/>
      </w:pPr>
      <w:r>
        <w:rPr>
          <w:rFonts w:ascii="Garamond" w:eastAsia="Garamond" w:hAnsi="Garamond" w:cs="Garamond"/>
          <w:color w:val="2A2A2A"/>
          <w:sz w:val="22"/>
          <w:szCs w:val="22"/>
        </w:rPr>
        <w:t>This constitution takes effect upon: (1) interim Elections Panel certification that the NVS is operational and meets §11.2; and (2) a national ratification vote achieving 60% of votes cast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14:paraId="458CE486" w14:textId="77777777" w:rsidR="00AF3D56" w:rsidRDefault="00000000">
      <w:pPr>
        <w:spacing w:before="200" w:after="60"/>
        <w:ind w:left="431"/>
      </w:pPr>
      <w:r>
        <w:rPr>
          <w:rFonts w:ascii="Courier New" w:eastAsia="Courier New" w:hAnsi="Courier New" w:cs="Courier New"/>
          <w:b/>
          <w:bCs/>
          <w:color w:val="2A2A2A"/>
          <w:sz w:val="18"/>
          <w:szCs w:val="18"/>
        </w:rPr>
        <w:t xml:space="preserve">§19.2  </w:t>
      </w:r>
      <w:r>
        <w:rPr>
          <w:rFonts w:ascii="Garamond" w:eastAsia="Garamond" w:hAnsi="Garamond" w:cs="Garamond"/>
          <w:i/>
          <w:iCs/>
          <w:color w:val="1B2A4A"/>
          <w:sz w:val="22"/>
          <w:szCs w:val="22"/>
        </w:rPr>
        <w:t>Day Zero and Transition</w:t>
      </w:r>
    </w:p>
    <w:p w14:paraId="4927C272" w14:textId="77777777" w:rsidR="00AF3D56" w:rsidRDefault="00000000">
      <w:pPr>
        <w:spacing w:after="120"/>
        <w:ind w:left="431"/>
        <w:jc w:val="both"/>
      </w:pPr>
      <w:r>
        <w:rPr>
          <w:rFonts w:ascii="Garamond" w:eastAsia="Garamond" w:hAnsi="Garamond" w:cs="Garamond"/>
          <w:color w:val="2A2A2A"/>
          <w:sz w:val="22"/>
          <w:szCs w:val="22"/>
        </w:rPr>
        <w:t>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14:paraId="155B5A1F" w14:textId="77777777" w:rsidR="00AF3D56" w:rsidRDefault="00000000">
      <w:pPr>
        <w:spacing w:before="200" w:after="60"/>
        <w:ind w:left="431"/>
      </w:pPr>
      <w:r>
        <w:rPr>
          <w:rFonts w:ascii="Courier New" w:eastAsia="Courier New" w:hAnsi="Courier New" w:cs="Courier New"/>
          <w:b/>
          <w:bCs/>
          <w:color w:val="2A2A2A"/>
          <w:sz w:val="18"/>
          <w:szCs w:val="18"/>
        </w:rPr>
        <w:t xml:space="preserve">§19.3  </w:t>
      </w:r>
      <w:r>
        <w:rPr>
          <w:rFonts w:ascii="Garamond" w:eastAsia="Garamond" w:hAnsi="Garamond" w:cs="Garamond"/>
          <w:i/>
          <w:iCs/>
          <w:color w:val="1B2A4A"/>
          <w:sz w:val="22"/>
          <w:szCs w:val="22"/>
        </w:rPr>
        <w:t>Caretaker Status</w:t>
      </w:r>
    </w:p>
    <w:p w14:paraId="6C9D0E68" w14:textId="77777777" w:rsidR="00AF3D56" w:rsidRDefault="00000000">
      <w:pPr>
        <w:spacing w:after="120"/>
        <w:ind w:left="431"/>
        <w:jc w:val="both"/>
      </w:pPr>
      <w:r>
        <w:rPr>
          <w:rFonts w:ascii="Garamond" w:eastAsia="Garamond" w:hAnsi="Garamond" w:cs="Garamond"/>
          <w:color w:val="2A2A2A"/>
          <w:sz w:val="22"/>
          <w:szCs w:val="22"/>
        </w:rPr>
        <w:t>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14:paraId="603E9FFE" w14:textId="77777777" w:rsidR="00AF3D56" w:rsidRDefault="00000000">
      <w:pPr>
        <w:spacing w:before="200" w:after="60"/>
        <w:ind w:left="431"/>
      </w:pPr>
      <w:r>
        <w:rPr>
          <w:rFonts w:ascii="Courier New" w:eastAsia="Courier New" w:hAnsi="Courier New" w:cs="Courier New"/>
          <w:b/>
          <w:bCs/>
          <w:color w:val="2A2A2A"/>
          <w:sz w:val="18"/>
          <w:szCs w:val="18"/>
        </w:rPr>
        <w:t xml:space="preserve">§19.4  </w:t>
      </w:r>
      <w:r>
        <w:rPr>
          <w:rFonts w:ascii="Garamond" w:eastAsia="Garamond" w:hAnsi="Garamond" w:cs="Garamond"/>
          <w:i/>
          <w:iCs/>
          <w:color w:val="1B2A4A"/>
          <w:sz w:val="22"/>
          <w:szCs w:val="22"/>
        </w:rPr>
        <w:t>Pre-Constitutional Classified Documents</w:t>
      </w:r>
    </w:p>
    <w:p w14:paraId="5D8CC8FC" w14:textId="77777777" w:rsidR="00AF3D56" w:rsidRDefault="00000000">
      <w:pPr>
        <w:spacing w:after="120"/>
        <w:ind w:left="431"/>
        <w:jc w:val="both"/>
      </w:pPr>
      <w:r>
        <w:rPr>
          <w:rFonts w:ascii="Garamond" w:eastAsia="Garamond" w:hAnsi="Garamond" w:cs="Garamond"/>
          <w:color w:val="2A2A2A"/>
          <w:sz w:val="22"/>
          <w:szCs w:val="22"/>
        </w:rPr>
        <w:t>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14:paraId="7D07531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§19.5  </w:t>
      </w:r>
      <w:r>
        <w:rPr>
          <w:rFonts w:ascii="Garamond" w:eastAsia="Garamond" w:hAnsi="Garamond" w:cs="Garamond"/>
          <w:i/>
          <w:iCs/>
          <w:color w:val="1B2A4A"/>
          <w:sz w:val="22"/>
          <w:szCs w:val="22"/>
        </w:rPr>
        <w:t>Pre-Existing Obligations</w:t>
      </w:r>
    </w:p>
    <w:p w14:paraId="1D0BC0F9" w14:textId="77777777" w:rsidR="00AF3D56" w:rsidRDefault="00000000">
      <w:pPr>
        <w:spacing w:after="120"/>
        <w:ind w:left="431"/>
        <w:jc w:val="both"/>
      </w:pPr>
      <w:r>
        <w:rPr>
          <w:rFonts w:ascii="Garamond" w:eastAsia="Garamond" w:hAnsi="Garamond" w:cs="Garamond"/>
          <w:color w:val="2A2A2A"/>
          <w:sz w:val="22"/>
          <w:szCs w:val="22"/>
        </w:rPr>
        <w:t>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§1.19.b.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14:paraId="66F6D0AB" w14:textId="77777777" w:rsidR="00AF3D56" w:rsidRDefault="00000000">
      <w:pPr>
        <w:spacing w:before="200" w:after="60"/>
        <w:ind w:left="431"/>
      </w:pPr>
      <w:r>
        <w:rPr>
          <w:rFonts w:ascii="Courier New" w:eastAsia="Courier New" w:hAnsi="Courier New" w:cs="Courier New"/>
          <w:b/>
          <w:bCs/>
          <w:color w:val="2A2A2A"/>
          <w:sz w:val="18"/>
          <w:szCs w:val="18"/>
        </w:rPr>
        <w:t xml:space="preserve">§19.6  </w:t>
      </w:r>
      <w:r>
        <w:rPr>
          <w:rFonts w:ascii="Garamond" w:eastAsia="Garamond" w:hAnsi="Garamond" w:cs="Garamond"/>
          <w:i/>
          <w:iCs/>
          <w:color w:val="1B2A4A"/>
          <w:sz w:val="22"/>
          <w:szCs w:val="22"/>
        </w:rPr>
        <w:t>Transition Territories</w:t>
      </w:r>
    </w:p>
    <w:p w14:paraId="25B02383" w14:textId="77777777" w:rsidR="00AF3D56" w:rsidRDefault="00000000">
      <w:pPr>
        <w:spacing w:after="120"/>
        <w:ind w:left="431"/>
        <w:jc w:val="both"/>
      </w:pPr>
      <w:r>
        <w:rPr>
          <w:rFonts w:ascii="Garamond" w:eastAsia="Garamond" w:hAnsi="Garamond" w:cs="Garamond"/>
          <w:color w:val="2A2A2A"/>
          <w:sz w:val="22"/>
          <w:szCs w:val="22"/>
        </w:rPr>
        <w:t>Territories or subdivisions meeting the Statehood Audit by Phase 2 end may petition to enter as State or Territory. Those failing the Baseline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14:paraId="714F27F0" w14:textId="77777777" w:rsidR="00AF3D56" w:rsidRDefault="00000000">
      <w:pPr>
        <w:spacing w:before="200" w:after="60"/>
        <w:ind w:left="431"/>
      </w:pPr>
      <w:r>
        <w:rPr>
          <w:rFonts w:ascii="Courier New" w:eastAsia="Courier New" w:hAnsi="Courier New" w:cs="Courier New"/>
          <w:b/>
          <w:bCs/>
          <w:color w:val="2A2A2A"/>
          <w:sz w:val="18"/>
          <w:szCs w:val="18"/>
        </w:rPr>
        <w:t xml:space="preserve">§19.7  </w:t>
      </w:r>
      <w:r>
        <w:rPr>
          <w:rFonts w:ascii="Garamond" w:eastAsia="Garamond" w:hAnsi="Garamond" w:cs="Garamond"/>
          <w:i/>
          <w:iCs/>
          <w:color w:val="1B2A4A"/>
          <w:sz w:val="22"/>
          <w:szCs w:val="22"/>
        </w:rPr>
        <w:t>Transition Candidate Registers</w:t>
      </w:r>
    </w:p>
    <w:p w14:paraId="04BC09BE" w14:textId="77777777" w:rsidR="00AF3D56" w:rsidRDefault="00000000">
      <w:pPr>
        <w:spacing w:after="120"/>
        <w:ind w:left="431"/>
        <w:jc w:val="both"/>
      </w:pPr>
      <w:r>
        <w:rPr>
          <w:rFonts w:ascii="Garamond" w:eastAsia="Garamond" w:hAnsi="Garamond" w:cs="Garamond"/>
          <w:color w:val="2A2A2A"/>
          <w:sz w:val="22"/>
          <w:szCs w:val="22"/>
        </w:rPr>
        <w:t>The joint Monitor panel assembles the initial Candidate Registers for all constitutionally established positions before Phase 3 elections can occur. The panel performs the register-assembly and qualification review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 Where the Civic Consul fails to meet this deadline, the LM publishes a compliance finding to the NRS, and the LM's ongoing audit encompasses the unfilled nomination until it is made.</w:t>
      </w:r>
    </w:p>
    <w:p w14:paraId="3CCE728C" w14:textId="77777777" w:rsidR="00AF3D56" w:rsidRDefault="00000000">
      <w:pPr>
        <w:spacing w:before="200" w:after="60"/>
        <w:ind w:left="431"/>
      </w:pPr>
      <w:r>
        <w:rPr>
          <w:rFonts w:ascii="Courier New" w:eastAsia="Courier New" w:hAnsi="Courier New" w:cs="Courier New"/>
          <w:b/>
          <w:bCs/>
          <w:color w:val="2A2A2A"/>
          <w:sz w:val="18"/>
          <w:szCs w:val="18"/>
        </w:rPr>
        <w:t xml:space="preserve">§19.8  </w:t>
      </w:r>
      <w:r>
        <w:rPr>
          <w:rFonts w:ascii="Garamond" w:eastAsia="Garamond" w:hAnsi="Garamond" w:cs="Garamond"/>
          <w:i/>
          <w:iCs/>
          <w:color w:val="1B2A4A"/>
          <w:sz w:val="22"/>
          <w:szCs w:val="22"/>
        </w:rPr>
        <w:t>Transitional Accountability Mechanism</w:t>
      </w:r>
    </w:p>
    <w:p w14:paraId="570D4B5C" w14:textId="77777777" w:rsidR="00AF3D56" w:rsidRDefault="00000000">
      <w:pPr>
        <w:spacing w:after="120"/>
        <w:ind w:left="431"/>
        <w:jc w:val="both"/>
      </w:pPr>
      <w:r>
        <w:rPr>
          <w:rFonts w:ascii="Garamond" w:eastAsia="Garamond" w:hAnsi="Garamond" w:cs="Garamond"/>
          <w:color w:val="2A2A2A"/>
          <w:sz w:val="22"/>
          <w:szCs w:val="22"/>
        </w:rPr>
        <w:t>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14:paraId="3410F4D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§19.9  </w:t>
      </w:r>
      <w:r>
        <w:rPr>
          <w:rFonts w:ascii="Garamond" w:eastAsia="Garamond" w:hAnsi="Garamond" w:cs="Garamond"/>
          <w:i/>
          <w:iCs/>
          <w:color w:val="1B2A4A"/>
          <w:sz w:val="22"/>
          <w:szCs w:val="22"/>
        </w:rPr>
        <w:t>Required Statutory Agency Establishment</w:t>
      </w:r>
    </w:p>
    <w:p w14:paraId="098DD5F1" w14:textId="77777777" w:rsidR="00AF3D56" w:rsidRDefault="00000000">
      <w:pPr>
        <w:spacing w:after="120"/>
        <w:ind w:left="431"/>
        <w:jc w:val="both"/>
      </w:pPr>
      <w:r>
        <w:rPr>
          <w:rFonts w:ascii="Garamond" w:eastAsia="Garamond" w:hAnsi="Garamond" w:cs="Garamond"/>
          <w:color w:val="2A2A2A"/>
          <w:sz w:val="22"/>
          <w:szCs w:val="22"/>
        </w:rPr>
        <w:t>Where this Constitution assigns a specific function to a statutory independent agency under §3.9, the Legislature must establish that agency within the following timeframes from Phase 4 activation: the civic proficiency assessment administrator under §5.1, within 180 days; the Census Bureau under §3.2, within 18 months; the Monetary Authority under §12.1,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an Monitor in lieu of establishing the required agency. The Legislature must by statute establish the transition from any predecessor voting infrastructure to the constitutionally required NVS, ensuring no gap in democratic participation.</w:t>
      </w:r>
    </w:p>
    <w:p w14:paraId="21553F5E"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XX — Associated Communities</w:t>
      </w:r>
    </w:p>
    <w:p w14:paraId="5E6CB131" w14:textId="77777777" w:rsidR="00AF3D56" w:rsidRDefault="00000000">
      <w:pPr>
        <w:spacing w:before="200" w:after="60"/>
        <w:ind w:left="431"/>
      </w:pPr>
      <w:r>
        <w:rPr>
          <w:rFonts w:ascii="Courier New" w:eastAsia="Courier New" w:hAnsi="Courier New" w:cs="Courier New"/>
          <w:b/>
          <w:bCs/>
          <w:color w:val="2A2A2A"/>
          <w:sz w:val="18"/>
          <w:szCs w:val="18"/>
        </w:rPr>
        <w:t xml:space="preserve">§20.1  </w:t>
      </w:r>
      <w:r>
        <w:rPr>
          <w:rFonts w:ascii="Garamond" w:eastAsia="Garamond" w:hAnsi="Garamond" w:cs="Garamond"/>
          <w:i/>
          <w:iCs/>
          <w:color w:val="1B2A4A"/>
          <w:sz w:val="22"/>
          <w:szCs w:val="22"/>
        </w:rPr>
        <w:t>Associated Community Status</w:t>
      </w:r>
    </w:p>
    <w:p w14:paraId="0AD69FE9" w14:textId="77777777" w:rsidR="00AF3D56" w:rsidRDefault="00000000">
      <w:pPr>
        <w:spacing w:after="120"/>
        <w:ind w:left="431"/>
        <w:jc w:val="both"/>
      </w:pPr>
      <w:r>
        <w:rPr>
          <w:rFonts w:ascii="Garamond" w:eastAsia="Garamond" w:hAnsi="Garamond" w:cs="Garamond"/>
          <w:color w:val="2A2A2A"/>
          <w:sz w:val="22"/>
          <w:szCs w:val="22"/>
        </w:rPr>
        <w:t>Exclusively for sovereign entities — not a form of State or Territory status, not transitional, not incorporation. Available to sovereign nations — those that have achieved full sovereignty through a status election under §16.7 or through the constitutional amendment process — and to independent nations outside the Republic seeking a defined relationship. Indigenous nations holding rights under Article XVI may not substitute an Article XX compact for their Article XVI compact relationship without first completing a status election under §16.7.a.</w:t>
      </w:r>
    </w:p>
    <w:p w14:paraId="66C171D4" w14:textId="77777777" w:rsidR="00AF3D56" w:rsidRDefault="00000000">
      <w:pPr>
        <w:spacing w:before="200" w:after="60"/>
        <w:ind w:left="431"/>
      </w:pPr>
      <w:r>
        <w:rPr>
          <w:rFonts w:ascii="Courier New" w:eastAsia="Courier New" w:hAnsi="Courier New" w:cs="Courier New"/>
          <w:b/>
          <w:bCs/>
          <w:color w:val="2A2A2A"/>
          <w:sz w:val="18"/>
          <w:szCs w:val="18"/>
        </w:rPr>
        <w:t xml:space="preserve">§20.2  </w:t>
      </w:r>
      <w:r>
        <w:rPr>
          <w:rFonts w:ascii="Garamond" w:eastAsia="Garamond" w:hAnsi="Garamond" w:cs="Garamond"/>
          <w:i/>
          <w:iCs/>
          <w:color w:val="1B2A4A"/>
          <w:sz w:val="22"/>
          <w:szCs w:val="22"/>
        </w:rPr>
        <w:t>Compact Terms and Equal Sovereignty</w:t>
      </w:r>
    </w:p>
    <w:p w14:paraId="2638B719" w14:textId="77777777" w:rsidR="00AF3D56" w:rsidRDefault="00000000">
      <w:pPr>
        <w:spacing w:after="120"/>
        <w:ind w:left="431"/>
        <w:jc w:val="both"/>
      </w:pPr>
      <w:r>
        <w:rPr>
          <w:rFonts w:ascii="Garamond" w:eastAsia="Garamond" w:hAnsi="Garamond" w:cs="Garamond"/>
          <w:color w:val="2A2A2A"/>
          <w:sz w:val="22"/>
          <w:szCs w:val="22"/>
        </w:rPr>
        <w:t>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14:paraId="68D4EED4" w14:textId="77777777" w:rsidR="00AF3D56" w:rsidRDefault="00000000">
      <w:pPr>
        <w:spacing w:before="200" w:after="60"/>
        <w:ind w:left="431"/>
      </w:pPr>
      <w:r>
        <w:rPr>
          <w:rFonts w:ascii="Courier New" w:eastAsia="Courier New" w:hAnsi="Courier New" w:cs="Courier New"/>
          <w:b/>
          <w:bCs/>
          <w:color w:val="2A2A2A"/>
          <w:sz w:val="18"/>
          <w:szCs w:val="18"/>
        </w:rPr>
        <w:t xml:space="preserve">§20.3  </w:t>
      </w:r>
      <w:r>
        <w:rPr>
          <w:rFonts w:ascii="Garamond" w:eastAsia="Garamond" w:hAnsi="Garamond" w:cs="Garamond"/>
          <w:i/>
          <w:iCs/>
          <w:color w:val="1B2A4A"/>
          <w:sz w:val="22"/>
          <w:szCs w:val="22"/>
        </w:rPr>
        <w:t>Compact Conditions and Compliance</w:t>
      </w:r>
    </w:p>
    <w:p w14:paraId="4BDB366C" w14:textId="77777777" w:rsidR="00AF3D56" w:rsidRDefault="00000000">
      <w:pPr>
        <w:spacing w:after="120"/>
        <w:ind w:left="431"/>
        <w:jc w:val="both"/>
      </w:pPr>
      <w:r>
        <w:rPr>
          <w:rFonts w:ascii="Garamond" w:eastAsia="Garamond" w:hAnsi="Garamond" w:cs="Garamond"/>
          <w:color w:val="2A2A2A"/>
          <w:sz w:val="22"/>
          <w:szCs w:val="22"/>
        </w:rPr>
        <w:t>No compact may be entered or ratified with any entity whose governance practices include, authorize, or systematically permit violations of any of the non-derogable rights established in §1.19.b, committed against any person within its jurisdiction. The JM conducts annual compliance reviews and publishes findings to the NRS. Where the JM finds systematic violations of §1.19.b rights or any party challenges a compact on those grounds, the compact is suspended pending review through the compact’s independent arbitration mechanism; the arbitration panel must issue a preliminary determination within 90 days of suspension; where no preliminary determination is issued within that period, the suspension lifts and the compact resumes pending the panel’s final determination. The arbitration panel may determine compact termination on confirmed violations without remediation within the period the compact specifies.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SC's determination.</w:t>
      </w:r>
    </w:p>
    <w:p w14:paraId="33C3AD4B" w14:textId="77777777" w:rsidR="00AF3D56" w:rsidRDefault="00000000">
      <w:pPr>
        <w:spacing w:before="200" w:after="60"/>
        <w:ind w:left="431"/>
      </w:pPr>
      <w:r>
        <w:rPr>
          <w:rFonts w:ascii="Courier New" w:eastAsia="Courier New" w:hAnsi="Courier New" w:cs="Courier New"/>
          <w:b/>
          <w:bCs/>
          <w:color w:val="2A2A2A"/>
          <w:sz w:val="18"/>
          <w:szCs w:val="18"/>
        </w:rPr>
        <w:t xml:space="preserve">§20.4  </w:t>
      </w:r>
      <w:r>
        <w:rPr>
          <w:rFonts w:ascii="Garamond" w:eastAsia="Garamond" w:hAnsi="Garamond" w:cs="Garamond"/>
          <w:i/>
          <w:iCs/>
          <w:color w:val="1B2A4A"/>
          <w:sz w:val="22"/>
          <w:szCs w:val="22"/>
        </w:rPr>
        <w:t>Sovereign Mobility</w:t>
      </w:r>
    </w:p>
    <w:p w14:paraId="74DBEAD6" w14:textId="77777777" w:rsidR="00AF3D56" w:rsidRDefault="00000000">
      <w:pPr>
        <w:spacing w:after="120"/>
        <w:ind w:left="431"/>
        <w:jc w:val="both"/>
      </w:pPr>
      <w:r>
        <w:rPr>
          <w:rFonts w:ascii="Garamond" w:eastAsia="Garamond" w:hAnsi="Garamond" w:cs="Garamond"/>
          <w:color w:val="2A2A2A"/>
          <w:sz w:val="22"/>
          <w:szCs w:val="22"/>
        </w:rPr>
        <w:t>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14:paraId="33CD16B8" w14:textId="77777777" w:rsidR="00AF3D56" w:rsidRDefault="00000000">
      <w:pPr>
        <w:spacing w:before="200" w:after="60"/>
        <w:ind w:left="431"/>
      </w:pPr>
      <w:r>
        <w:rPr>
          <w:rFonts w:ascii="Courier New" w:eastAsia="Courier New" w:hAnsi="Courier New" w:cs="Courier New"/>
          <w:b/>
          <w:bCs/>
          <w:color w:val="2A2A2A"/>
          <w:sz w:val="18"/>
          <w:szCs w:val="18"/>
        </w:rPr>
        <w:t xml:space="preserve">§20.5  </w:t>
      </w:r>
      <w:r>
        <w:rPr>
          <w:rFonts w:ascii="Garamond" w:eastAsia="Garamond" w:hAnsi="Garamond" w:cs="Garamond"/>
          <w:i/>
          <w:iCs/>
          <w:color w:val="1B2A4A"/>
          <w:sz w:val="22"/>
          <w:szCs w:val="22"/>
        </w:rPr>
        <w:t>Reciprocal Obligations and Review</w:t>
      </w:r>
    </w:p>
    <w:p w14:paraId="5DED57CD" w14:textId="77777777" w:rsidR="00AF3D56" w:rsidRDefault="00000000">
      <w:pPr>
        <w:spacing w:after="120"/>
        <w:ind w:left="431"/>
        <w:jc w:val="both"/>
      </w:pPr>
      <w:r>
        <w:rPr>
          <w:rFonts w:ascii="Garamond" w:eastAsia="Garamond" w:hAnsi="Garamond" w:cs="Garamond"/>
          <w:color w:val="2A2A2A"/>
          <w:sz w:val="22"/>
          <w:szCs w:val="22"/>
        </w:rPr>
        <w:t xml:space="preserve">The compact must specify with particularity the reciprocal obligations of both parties and the review mechanism. The Associated Community holds obligations to the Republic as well as rights from it. Review </w:t>
      </w:r>
      <w:r>
        <w:rPr>
          <w:rFonts w:ascii="Garamond" w:eastAsia="Garamond" w:hAnsi="Garamond" w:cs="Garamond"/>
          <w:color w:val="2A2A2A"/>
          <w:sz w:val="22"/>
          <w:szCs w:val="22"/>
        </w:rPr>
        <w:lastRenderedPageBreak/>
        <w:t>must be scheduled at regular intervals defined in the compact; either party may request a review outside the schedule by providing written notice to the NRS.</w:t>
      </w:r>
    </w:p>
    <w:p w14:paraId="754E2DD5" w14:textId="77777777" w:rsidR="00AF3D56" w:rsidRDefault="00000000">
      <w:pPr>
        <w:spacing w:before="200" w:after="60"/>
        <w:ind w:left="431"/>
      </w:pPr>
      <w:r>
        <w:rPr>
          <w:rFonts w:ascii="Courier New" w:eastAsia="Courier New" w:hAnsi="Courier New" w:cs="Courier New"/>
          <w:b/>
          <w:bCs/>
          <w:color w:val="2A2A2A"/>
          <w:sz w:val="18"/>
          <w:szCs w:val="18"/>
        </w:rPr>
        <w:t xml:space="preserve">§20.6  </w:t>
      </w:r>
      <w:r>
        <w:rPr>
          <w:rFonts w:ascii="Garamond" w:eastAsia="Garamond" w:hAnsi="Garamond" w:cs="Garamond"/>
          <w:i/>
          <w:iCs/>
          <w:color w:val="1B2A4A"/>
          <w:sz w:val="22"/>
          <w:szCs w:val="22"/>
        </w:rPr>
        <w:t>Compact Ratification</w:t>
      </w:r>
    </w:p>
    <w:p w14:paraId="534146D4" w14:textId="77777777" w:rsidR="00AF3D56" w:rsidRDefault="00000000">
      <w:pPr>
        <w:spacing w:after="120"/>
        <w:ind w:left="431"/>
        <w:jc w:val="both"/>
      </w:pPr>
      <w:r>
        <w:rPr>
          <w:rFonts w:ascii="Garamond" w:eastAsia="Garamond" w:hAnsi="Garamond" w:cs="Garamond"/>
          <w:color w:val="2A2A2A"/>
          <w:sz w:val="22"/>
          <w:szCs w:val="22"/>
        </w:rPr>
        <w:t>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14:paraId="0A471600" w14:textId="77777777" w:rsidR="00AF3D56" w:rsidRDefault="00000000">
      <w:pPr>
        <w:spacing w:before="200" w:after="60"/>
        <w:ind w:left="431"/>
      </w:pPr>
      <w:r>
        <w:rPr>
          <w:rFonts w:ascii="Courier New" w:eastAsia="Courier New" w:hAnsi="Courier New" w:cs="Courier New"/>
          <w:b/>
          <w:bCs/>
          <w:color w:val="2A2A2A"/>
          <w:sz w:val="18"/>
          <w:szCs w:val="18"/>
        </w:rPr>
        <w:t xml:space="preserve">§20.7  </w:t>
      </w:r>
      <w:r>
        <w:rPr>
          <w:rFonts w:ascii="Garamond" w:eastAsia="Garamond" w:hAnsi="Garamond" w:cs="Garamond"/>
          <w:i/>
          <w:iCs/>
          <w:color w:val="1B2A4A"/>
          <w:sz w:val="22"/>
          <w:szCs w:val="22"/>
        </w:rPr>
        <w:t>Compact Continuity</w:t>
      </w:r>
    </w:p>
    <w:p w14:paraId="6423AF73" w14:textId="77777777" w:rsidR="00AF3D56" w:rsidRDefault="00000000">
      <w:pPr>
        <w:spacing w:after="120"/>
        <w:ind w:left="431"/>
        <w:jc w:val="both"/>
      </w:pPr>
      <w:r>
        <w:rPr>
          <w:rFonts w:ascii="Garamond" w:eastAsia="Garamond" w:hAnsi="Garamond" w:cs="Garamond"/>
          <w:color w:val="2A2A2A"/>
          <w:sz w:val="22"/>
          <w:szCs w:val="22"/>
        </w:rPr>
        <w:t>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rsidR="00AF3D5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C42F1"/>
    <w:multiLevelType w:val="hybridMultilevel"/>
    <w:tmpl w:val="C396EB00"/>
    <w:lvl w:ilvl="0" w:tplc="E8E0725A">
      <w:start w:val="1"/>
      <w:numFmt w:val="bullet"/>
      <w:lvlText w:val="●"/>
      <w:lvlJc w:val="left"/>
      <w:pPr>
        <w:ind w:left="720" w:hanging="360"/>
      </w:pPr>
    </w:lvl>
    <w:lvl w:ilvl="1" w:tplc="597C5D9C">
      <w:start w:val="1"/>
      <w:numFmt w:val="bullet"/>
      <w:lvlText w:val="○"/>
      <w:lvlJc w:val="left"/>
      <w:pPr>
        <w:ind w:left="1440" w:hanging="360"/>
      </w:pPr>
    </w:lvl>
    <w:lvl w:ilvl="2" w:tplc="A88A5B24">
      <w:start w:val="1"/>
      <w:numFmt w:val="bullet"/>
      <w:lvlText w:val="■"/>
      <w:lvlJc w:val="left"/>
      <w:pPr>
        <w:ind w:left="2160" w:hanging="360"/>
      </w:pPr>
    </w:lvl>
    <w:lvl w:ilvl="3" w:tplc="060C78B4">
      <w:start w:val="1"/>
      <w:numFmt w:val="bullet"/>
      <w:lvlText w:val="●"/>
      <w:lvlJc w:val="left"/>
      <w:pPr>
        <w:ind w:left="2880" w:hanging="360"/>
      </w:pPr>
    </w:lvl>
    <w:lvl w:ilvl="4" w:tplc="01B4AB26">
      <w:start w:val="1"/>
      <w:numFmt w:val="bullet"/>
      <w:lvlText w:val="○"/>
      <w:lvlJc w:val="left"/>
      <w:pPr>
        <w:ind w:left="3600" w:hanging="360"/>
      </w:pPr>
    </w:lvl>
    <w:lvl w:ilvl="5" w:tplc="5CFA4890">
      <w:start w:val="1"/>
      <w:numFmt w:val="bullet"/>
      <w:lvlText w:val="■"/>
      <w:lvlJc w:val="left"/>
      <w:pPr>
        <w:ind w:left="4320" w:hanging="360"/>
      </w:pPr>
    </w:lvl>
    <w:lvl w:ilvl="6" w:tplc="25DA88DC">
      <w:start w:val="1"/>
      <w:numFmt w:val="bullet"/>
      <w:lvlText w:val="●"/>
      <w:lvlJc w:val="left"/>
      <w:pPr>
        <w:ind w:left="5040" w:hanging="360"/>
      </w:pPr>
    </w:lvl>
    <w:lvl w:ilvl="7" w:tplc="DD8868E6">
      <w:start w:val="1"/>
      <w:numFmt w:val="bullet"/>
      <w:lvlText w:val="●"/>
      <w:lvlJc w:val="left"/>
      <w:pPr>
        <w:ind w:left="5760" w:hanging="360"/>
      </w:pPr>
    </w:lvl>
    <w:lvl w:ilvl="8" w:tplc="AFEC6070">
      <w:start w:val="1"/>
      <w:numFmt w:val="bullet"/>
      <w:lvlText w:val="●"/>
      <w:lvlJc w:val="left"/>
      <w:pPr>
        <w:ind w:left="6480" w:hanging="360"/>
      </w:pPr>
    </w:lvl>
  </w:abstractNum>
  <w:num w:numId="1" w16cid:durableId="194399557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D56"/>
    <w:rsid w:val="00123DDD"/>
    <w:rsid w:val="005F487F"/>
    <w:rsid w:val="0088569E"/>
    <w:rsid w:val="00940D3B"/>
    <w:rsid w:val="009D63B1"/>
    <w:rsid w:val="00A36A94"/>
    <w:rsid w:val="00AD76A6"/>
    <w:rsid w:val="00AF3D56"/>
    <w:rsid w:val="00CD141D"/>
    <w:rsid w:val="00F645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299269"/>
  <w15:docId w15:val="{E08E9D2D-9B22-1A48-A6CD-56DD032E4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52</Pages>
  <Words>24570</Words>
  <Characters>140049</Characters>
  <Application>Microsoft Office Word</Application>
  <DocSecurity>0</DocSecurity>
  <Lines>1167</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John Reickert</cp:lastModifiedBy>
  <cp:revision>5</cp:revision>
  <dcterms:created xsi:type="dcterms:W3CDTF">2026-07-06T19:02:00Z</dcterms:created>
  <dcterms:modified xsi:type="dcterms:W3CDTF">2026-07-07T12:42:00Z</dcterms:modified>
</cp:coreProperties>
</file>