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600"/>
        <w:jc w:val="center"/>
      </w:pPr>
      <w:r>
        <w:drawing>
          <wp:inline distT="0" distB="0" distL="0" distR="0">
            <wp:extent cx="13335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33500" cy="1333500"/>
                    </a:xfrm>
                    <a:prstGeom prst="rect">
                      <a:avLst/>
                    </a:prstGeom>
                  </pic:spPr>
                </pic:pic>
              </a:graphicData>
            </a:graphic>
          </wp:inline>
        </w:drawing>
      </w:r>
    </w:p>
    <w:p>
      <w:pPr>
        <w:spacing w:after="200"/>
        <w:jc w:val="center"/>
      </w:pPr>
      <w:r>
        <w:rPr>
          <w:rFonts w:ascii="Garamond" w:cs="Garamond" w:eastAsia="Garamond" w:hAnsi="Garamond"/>
          <w:b/>
          <w:bCs/>
          <w:color w:val="1B2A4A"/>
          <w:spacing w:val="100"/>
          <w:sz w:val="44"/>
          <w:szCs w:val="44"/>
        </w:rPr>
        <w:t xml:space="preserve">THE FEDERATED REPUBLIC</w:t>
      </w:r>
    </w:p>
    <w:p>
      <w:pPr>
        <w:spacing w:after="200"/>
        <w:jc w:val="center"/>
      </w:pPr>
      <w:r>
        <w:rPr>
          <w:rFonts w:ascii="Garamond" w:cs="Garamond" w:eastAsia="Garamond" w:hAnsi="Garamond"/>
          <w:i/>
          <w:iCs/>
          <w:color w:val="C9A84C"/>
          <w:sz w:val="32"/>
          <w:szCs w:val="32"/>
        </w:rPr>
        <w:t xml:space="preserve">Constitution</w:t>
      </w:r>
    </w:p>
    <w:p>
      <w:pPr>
        <w:pBdr>
          <w:bottom w:val="single" w:color="C9A84C" w:sz="6" w:space="1"/>
        </w:pBdr>
        <w:spacing w:after="400"/>
        <w:jc w:val="center"/>
      </w:pPr>
    </w:p>
    <w:p>
      <w:pPr>
        <w:spacing w:after="800"/>
        <w:jc w:val="center"/>
      </w:pPr>
      <w:r>
        <w:rPr>
          <w:rFonts w:ascii="Garamond" w:cs="Garamond" w:eastAsia="Garamond" w:hAnsi="Garamond"/>
          <w:color w:val="7a7060"/>
          <w:sz w:val="22"/>
          <w:szCs w:val="22"/>
        </w:rPr>
        <w:t xml:space="preserve">May 2026</w:t>
      </w:r>
    </w:p>
    <w:p>
      <w:pPr>
        <w:spacing w:after="200"/>
        <w:jc w:val="center"/>
      </w:pPr>
      <w:r>
        <w:rPr>
          <w:rFonts w:ascii="Courier New" w:cs="Courier New" w:eastAsia="Courier New" w:hAnsi="Courier New"/>
          <w:color w:val="7a7060"/>
          <w:sz w:val="18"/>
          <w:szCs w:val="18"/>
        </w:rPr>
        <w:t xml:space="preserve">thefederatedrepublic.org</w:t>
      </w:r>
    </w:p>
    <w:p>
      <w:r>
        <w:br w:type="page"/>
      </w:r>
    </w:p>
    <w:p>
      <w:pPr>
        <w:pStyle w:val="Heading1"/>
        <w:spacing w:after="240" w:before="480"/>
      </w:pPr>
      <w:r>
        <w:rPr>
          <w:rFonts w:ascii="Garamond" w:cs="Garamond" w:eastAsia="Garamond" w:hAnsi="Garamond"/>
          <w:b/>
          <w:bCs/>
          <w:color w:val="1B2A4A"/>
          <w:sz w:val="32"/>
          <w:szCs w:val="32"/>
        </w:rPr>
        <w:t xml:space="preserve">Preamble</w:t>
      </w:r>
    </w:p>
    <w:p>
      <w:pPr>
        <w:spacing w:after="480"/>
        <w:jc w:val="both"/>
      </w:pPr>
      <w:r>
        <w:rPr>
          <w:rFonts w:ascii="Garamond" w:cs="Garamond" w:eastAsia="Garamond" w:hAnsi="Garamond"/>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r>
        <w:br w:type="page"/>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 — Individual Sovereignty and Rights</w:t>
      </w:r>
    </w:p>
    <w:p>
      <w:pPr>
        <w:spacing w:after="120"/>
      </w:pPr>
    </w:p>
    <w:p>
      <w:pPr>
        <w:spacing w:after="60" w:before="200"/>
        <w:ind w:left="431"/>
      </w:pPr>
      <w:r>
        <w:rPr>
          <w:rFonts w:ascii="Courier New" w:cs="Courier New" w:eastAsia="Courier New" w:hAnsi="Courier New"/>
          <w:b/>
          <w:bCs/>
          <w:color w:val="1B2A4A"/>
          <w:sz w:val="18"/>
          <w:szCs w:val="18"/>
        </w:rPr>
        <w:t xml:space="preserve">§1.0  </w:t>
      </w:r>
      <w:r>
        <w:rPr>
          <w:rFonts w:ascii="Garamond" w:cs="Garamond" w:eastAsia="Garamond" w:hAnsi="Garamond"/>
          <w:b/>
          <w:bCs/>
          <w:color w:val="1B2A4A"/>
          <w:sz w:val="22"/>
          <w:szCs w:val="22"/>
        </w:rPr>
        <w:t xml:space="preserve">Right of Access to Courts</w:t>
      </w:r>
    </w:p>
    <w:p>
      <w:pPr>
        <w:spacing w:after="120" w:before="0"/>
        <w:ind w:left="431"/>
        <w:jc w:val="both"/>
      </w:pPr>
      <w:r>
        <w:rPr>
          <w:rFonts w:ascii="Garamond" w:cs="Garamond" w:eastAsia="Garamond" w:hAnsi="Garamond"/>
          <w:color w:val="2a2520"/>
          <w:sz w:val="22"/>
          <w:szCs w:val="22"/>
        </w:rPr>
        <w:t xml:space="preserve">Self-executing right: every person may seek legal remedy for any rights violation. Court access cannot be made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pPr>
      <w:r>
        <w:rPr>
          <w:rFonts w:ascii="Courier New" w:cs="Courier New" w:eastAsia="Courier New" w:hAnsi="Courier New"/>
          <w:b/>
          <w:bCs/>
          <w:color w:val="1B2A4A"/>
          <w:sz w:val="18"/>
          <w:szCs w:val="18"/>
        </w:rPr>
        <w:t xml:space="preserve">§1.1  </w:t>
      </w:r>
      <w:r>
        <w:rPr>
          <w:rFonts w:ascii="Garamond" w:cs="Garamond" w:eastAsia="Garamond" w:hAnsi="Garamond"/>
          <w:b/>
          <w:bCs/>
          <w:color w:val="1B2A4A"/>
          <w:sz w:val="22"/>
          <w:szCs w:val="22"/>
        </w:rPr>
        <w:t xml:space="preserve">Individual Sovereignty Floor</w:t>
      </w:r>
    </w:p>
    <w:p>
      <w:pPr>
        <w:spacing w:after="120" w:before="0"/>
        <w:ind w:left="431"/>
        <w:jc w:val="both"/>
      </w:pPr>
      <w:r>
        <w:rPr>
          <w:rFonts w:ascii="Garamond" w:cs="Garamond" w:eastAsia="Garamond" w:hAnsi="Garamond"/>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 the constitution leaves to the legislature whether such sentences may include capital punishment. Any method a legislature permits remains subject to §1.2's prohibition on cruel, degrading, or inhumane treatment. The provision specifies that the State's obligations attach from the moment of live birth. This forecloses the argument that §1.1 requires any government to treat a fetus as a constitutional person — though states retain authority to protect fetal life through their own legislative powers. The distinction matters: a state may restrict abortion services through scope of practice regulation under §1.28; it may not claim §1.1 mandates that restriction.</w:t>
      </w:r>
    </w:p>
    <w:p>
      <w:pPr>
        <w:spacing w:after="60" w:before="200"/>
        <w:ind w:left="431"/>
      </w:pPr>
      <w:r>
        <w:rPr>
          <w:rFonts w:ascii="Courier New" w:cs="Courier New" w:eastAsia="Courier New" w:hAnsi="Courier New"/>
          <w:b/>
          <w:bCs/>
          <w:color w:val="1B2A4A"/>
          <w:sz w:val="18"/>
          <w:szCs w:val="18"/>
        </w:rPr>
        <w:t xml:space="preserve">§1.10  </w:t>
      </w:r>
      <w:r>
        <w:rPr>
          <w:rFonts w:ascii="Garamond" w:cs="Garamond" w:eastAsia="Garamond" w:hAnsi="Garamond"/>
          <w:b/>
          <w:bCs/>
          <w:color w:val="1B2A4A"/>
          <w:sz w:val="22"/>
          <w:szCs w:val="22"/>
        </w:rPr>
        <w:t xml:space="preserve">Inviolability of the Home and Property Rights</w:t>
      </w:r>
    </w:p>
    <w:p>
      <w:pPr>
        <w:spacing w:after="120" w:before="0"/>
        <w:ind w:left="431"/>
        <w:jc w:val="both"/>
      </w:pPr>
      <w:r>
        <w:rPr>
          <w:rFonts w:ascii="Garamond" w:cs="Garamond" w:eastAsia="Garamond" w:hAnsi="Garamond"/>
          <w:color w:val="2a2520"/>
          <w:sz w:val="22"/>
          <w:szCs w:val="22"/>
        </w:rPr>
        <w:t xml:space="preserve">§1.10.a extends "home" to all physical residences and digital spaces secured by private cryptographic keys; State access requires a precise warrant recorded on the NRS before execution; general warrants are absolutely prohibited. §1.10.b governs eminent domain: requires proof of absolute public necessity, 150% fair market value payment, NRS recording, and prohibits private-to-private transfer.</w:t>
      </w:r>
    </w:p>
    <w:p>
      <w:pPr>
        <w:spacing w:after="60" w:before="200"/>
        <w:ind w:left="863"/>
      </w:pPr>
      <w:r>
        <w:rPr>
          <w:rFonts w:ascii="Courier New" w:cs="Courier New" w:eastAsia="Courier New" w:hAnsi="Courier New"/>
          <w:b/>
          <w:bCs/>
          <w:color w:val="1B2A4A"/>
          <w:sz w:val="18"/>
          <w:szCs w:val="18"/>
        </w:rPr>
        <w:t xml:space="preserve">§1.10.a  </w:t>
      </w:r>
      <w:r>
        <w:rPr>
          <w:rFonts w:ascii="Garamond" w:cs="Garamond" w:eastAsia="Garamond" w:hAnsi="Garamond"/>
          <w:b/>
          <w:bCs/>
          <w:color w:val="1B2A4A"/>
          <w:sz w:val="22"/>
          <w:szCs w:val="22"/>
        </w:rPr>
        <w:t xml:space="preserve">Home and Digital Privacy</w:t>
      </w:r>
    </w:p>
    <w:p>
      <w:pPr>
        <w:spacing w:after="120" w:before="0"/>
        <w:ind w:left="863"/>
        <w:jc w:val="both"/>
      </w:pPr>
      <w:r>
        <w:rPr>
          <w:rFonts w:ascii="Garamond" w:cs="Garamond" w:eastAsia="Garamond" w:hAnsi="Garamond"/>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863"/>
      </w:pPr>
      <w:r>
        <w:rPr>
          <w:rFonts w:ascii="Courier New" w:cs="Courier New" w:eastAsia="Courier New" w:hAnsi="Courier New"/>
          <w:b/>
          <w:bCs/>
          <w:color w:val="1B2A4A"/>
          <w:sz w:val="18"/>
          <w:szCs w:val="18"/>
        </w:rPr>
        <w:t xml:space="preserve">§1.10.b  </w:t>
      </w:r>
      <w:r>
        <w:rPr>
          <w:rFonts w:ascii="Garamond" w:cs="Garamond" w:eastAsia="Garamond" w:hAnsi="Garamond"/>
          <w:b/>
          <w:bCs/>
          <w:color w:val="1B2A4A"/>
          <w:sz w:val="22"/>
          <w:szCs w:val="22"/>
        </w:rPr>
        <w:t xml:space="preserve">Eminent Domain</w:t>
      </w:r>
    </w:p>
    <w:p>
      <w:pPr>
        <w:spacing w:after="120" w:before="0"/>
        <w:ind w:left="863"/>
        <w:jc w:val="both"/>
      </w:pPr>
      <w:r>
        <w:rPr>
          <w:rFonts w:ascii="Garamond" w:cs="Garamond" w:eastAsia="Garamond" w:hAnsi="Garamond"/>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pPr>
      <w:r>
        <w:rPr>
          <w:rFonts w:ascii="Courier New" w:cs="Courier New" w:eastAsia="Courier New" w:hAnsi="Courier New"/>
          <w:b/>
          <w:bCs/>
          <w:color w:val="1B2A4A"/>
          <w:sz w:val="18"/>
          <w:szCs w:val="18"/>
        </w:rPr>
        <w:t xml:space="preserve">§1.11  </w:t>
      </w:r>
      <w:r>
        <w:rPr>
          <w:rFonts w:ascii="Garamond" w:cs="Garamond" w:eastAsia="Garamond" w:hAnsi="Garamond"/>
          <w:b/>
          <w:bCs/>
          <w:color w:val="1B2A4A"/>
          <w:sz w:val="22"/>
          <w:szCs w:val="22"/>
        </w:rPr>
        <w:t xml:space="preserve">Self-Defense and the Right to Bear Arms</w:t>
      </w:r>
    </w:p>
    <w:p>
      <w:pPr>
        <w:spacing w:after="120" w:before="0"/>
        <w:ind w:left="431"/>
        <w:jc w:val="both"/>
      </w:pPr>
      <w:r>
        <w:rPr>
          <w:rFonts w:ascii="Garamond" w:cs="Garamond" w:eastAsia="Garamond" w:hAnsi="Garamond"/>
          <w:color w:val="2a2520"/>
          <w:sz w:val="22"/>
          <w:szCs w:val="22"/>
        </w:rPr>
        <w:t xml:space="preserve">The right to keep and bear arms for personal defense and hunting must not be infringed. States may establish proportionate licensing requirements (§1.11.b) but may not impose requirements that function as effective prohibitions on lawful ownership (§1.11.c). The burden of proof lies with the State to demonstrate any challenged requirement is proportionate, non-discriminatory, and genuinely serves a safety purpose.</w:t>
      </w:r>
    </w:p>
    <w:p>
      <w:pPr>
        <w:spacing w:after="60" w:before="200"/>
        <w:ind w:left="863"/>
      </w:pPr>
      <w:r>
        <w:rPr>
          <w:rFonts w:ascii="Courier New" w:cs="Courier New" w:eastAsia="Courier New" w:hAnsi="Courier New"/>
          <w:b/>
          <w:bCs/>
          <w:color w:val="1B2A4A"/>
          <w:sz w:val="18"/>
          <w:szCs w:val="18"/>
        </w:rPr>
        <w:t xml:space="preserve">§1.11.a  </w:t>
      </w:r>
      <w:r>
        <w:rPr>
          <w:rFonts w:ascii="Garamond" w:cs="Garamond" w:eastAsia="Garamond" w:hAnsi="Garamond"/>
          <w:b/>
          <w:bCs/>
          <w:color w:val="1B2A4A"/>
          <w:sz w:val="22"/>
          <w:szCs w:val="22"/>
        </w:rPr>
        <w:t xml:space="preserve">Right to Bear Arms</w:t>
      </w:r>
    </w:p>
    <w:p>
      <w:pPr>
        <w:spacing w:after="120" w:before="0"/>
        <w:ind w:left="863"/>
        <w:jc w:val="both"/>
      </w:pPr>
      <w:r>
        <w:rPr>
          <w:rFonts w:ascii="Garamond" w:cs="Garamond" w:eastAsia="Garamond" w:hAnsi="Garamond"/>
          <w:color w:val="2a2520"/>
          <w:sz w:val="22"/>
          <w:szCs w:val="22"/>
        </w:rPr>
        <w:t xml:space="preserve">The right to keep and bear arms for personal defense and hunting must not be infringed. The provision is deliberately narrow in scope — personal defense and hunting — which bounds the right without eliminating it.</w:t>
      </w:r>
    </w:p>
    <w:p>
      <w:pPr>
        <w:spacing w:after="60" w:before="200"/>
        <w:ind w:left="863"/>
      </w:pPr>
      <w:r>
        <w:rPr>
          <w:rFonts w:ascii="Courier New" w:cs="Courier New" w:eastAsia="Courier New" w:hAnsi="Courier New"/>
          <w:b/>
          <w:bCs/>
          <w:color w:val="1B2A4A"/>
          <w:sz w:val="18"/>
          <w:szCs w:val="18"/>
        </w:rPr>
        <w:t xml:space="preserve">§1.11.b  </w:t>
      </w:r>
      <w:r>
        <w:rPr>
          <w:rFonts w:ascii="Garamond" w:cs="Garamond" w:eastAsia="Garamond" w:hAnsi="Garamond"/>
          <w:b/>
          <w:bCs/>
          <w:color w:val="1B2A4A"/>
          <w:sz w:val="22"/>
          <w:szCs w:val="22"/>
        </w:rPr>
        <w:t xml:space="preserve">State Licensing Latitude</w:t>
      </w:r>
    </w:p>
    <w:p>
      <w:pPr>
        <w:spacing w:after="120" w:before="0"/>
        <w:ind w:left="863"/>
        <w:jc w:val="both"/>
      </w:pPr>
      <w:r>
        <w:rPr>
          <w:rFonts w:ascii="Garamond" w:cs="Garamond" w:eastAsia="Garamond" w:hAnsi="Garamond"/>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863"/>
      </w:pPr>
      <w:r>
        <w:rPr>
          <w:rFonts w:ascii="Courier New" w:cs="Courier New" w:eastAsia="Courier New" w:hAnsi="Courier New"/>
          <w:b/>
          <w:bCs/>
          <w:color w:val="1B2A4A"/>
          <w:sz w:val="18"/>
          <w:szCs w:val="18"/>
        </w:rPr>
        <w:t xml:space="preserve">§1.11.c  </w:t>
      </w:r>
      <w:r>
        <w:rPr>
          <w:rFonts w:ascii="Garamond" w:cs="Garamond" w:eastAsia="Garamond" w:hAnsi="Garamond"/>
          <w:b/>
          <w:bCs/>
          <w:color w:val="1B2A4A"/>
          <w:sz w:val="22"/>
          <w:szCs w:val="22"/>
        </w:rPr>
        <w:t xml:space="preserve">Non-Prohibition Principle</w:t>
      </w:r>
    </w:p>
    <w:p>
      <w:pPr>
        <w:spacing w:after="120" w:before="0"/>
        <w:ind w:left="863"/>
        <w:jc w:val="both"/>
      </w:pPr>
      <w:r>
        <w:rPr>
          <w:rFonts w:ascii="Garamond" w:cs="Garamond" w:eastAsia="Garamond" w:hAnsi="Garamond"/>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pPr>
      <w:r>
        <w:rPr>
          <w:rFonts w:ascii="Courier New" w:cs="Courier New" w:eastAsia="Courier New" w:hAnsi="Courier New"/>
          <w:b/>
          <w:bCs/>
          <w:color w:val="1B2A4A"/>
          <w:sz w:val="18"/>
          <w:szCs w:val="18"/>
        </w:rPr>
        <w:t xml:space="preserve">§1.12  </w:t>
      </w:r>
      <w:r>
        <w:rPr>
          <w:rFonts w:ascii="Garamond" w:cs="Garamond" w:eastAsia="Garamond" w:hAnsi="Garamond"/>
          <w:b/>
          <w:bCs/>
          <w:color w:val="1B2A4A"/>
          <w:sz w:val="22"/>
          <w:szCs w:val="22"/>
        </w:rPr>
        <w:t xml:space="preserve">Freedom of Movement and Labor</w:t>
      </w:r>
    </w:p>
    <w:p>
      <w:pPr>
        <w:spacing w:after="120" w:before="0"/>
        <w:ind w:left="431"/>
        <w:jc w:val="both"/>
      </w:pPr>
      <w:r>
        <w:rPr>
          <w:rFonts w:ascii="Garamond" w:cs="Garamond" w:eastAsia="Garamond" w:hAnsi="Garamond"/>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863"/>
      </w:pPr>
      <w:r>
        <w:rPr>
          <w:rFonts w:ascii="Courier New" w:cs="Courier New" w:eastAsia="Courier New" w:hAnsi="Courier New"/>
          <w:b/>
          <w:bCs/>
          <w:color w:val="1B2A4A"/>
          <w:sz w:val="18"/>
          <w:szCs w:val="18"/>
        </w:rPr>
        <w:t xml:space="preserve">§1.13.a  </w:t>
      </w:r>
      <w:r>
        <w:rPr>
          <w:rFonts w:ascii="Garamond" w:cs="Garamond" w:eastAsia="Garamond" w:hAnsi="Garamond"/>
          <w:b/>
          <w:bCs/>
          <w:color w:val="1B2A4A"/>
          <w:sz w:val="22"/>
          <w:szCs w:val="22"/>
        </w:rPr>
        <w:t xml:space="preserve">First Appearance</w:t>
      </w:r>
    </w:p>
    <w:p>
      <w:pPr>
        <w:spacing w:after="120" w:before="0"/>
        <w:ind w:left="863"/>
        <w:jc w:val="both"/>
      </w:pPr>
      <w:r>
        <w:rPr>
          <w:rFonts w:ascii="Garamond" w:cs="Garamond" w:eastAsia="Garamond" w:hAnsi="Garamond"/>
          <w:color w:val="2a2520"/>
          <w:sz w:val="22"/>
          <w:szCs w:val="22"/>
        </w:rPr>
        <w:t xml:space="preserve">Any person taken into custody must appear before a judicial officer within 72 hoursMeasured from the moment of physical custody, not from formal arrest. Clock does not pause for weekends or public holidays. of arrest. At the First Appearance, the judge must determine whether custody is lawful and whether conditions of release are appropriate.</w:t>
      </w:r>
    </w:p>
    <w:p>
      <w:pPr>
        <w:spacing w:after="60" w:before="200"/>
        <w:ind w:left="863"/>
      </w:pPr>
      <w:r>
        <w:rPr>
          <w:rFonts w:ascii="Courier New" w:cs="Courier New" w:eastAsia="Courier New" w:hAnsi="Courier New"/>
          <w:b/>
          <w:bCs/>
          <w:color w:val="1B2A4A"/>
          <w:sz w:val="18"/>
          <w:szCs w:val="18"/>
        </w:rPr>
        <w:t xml:space="preserve">§1.13.b  </w:t>
      </w:r>
      <w:r>
        <w:rPr>
          <w:rFonts w:ascii="Garamond" w:cs="Garamond" w:eastAsia="Garamond" w:hAnsi="Garamond"/>
          <w:b/>
          <w:bCs/>
          <w:color w:val="1B2A4A"/>
          <w:sz w:val="22"/>
          <w:szCs w:val="22"/>
        </w:rPr>
        <w:t xml:space="preserve">Habeas Corpus Response Deadline</w:t>
      </w:r>
    </w:p>
    <w:p>
      <w:pPr>
        <w:spacing w:after="120" w:before="0"/>
        <w:ind w:left="863"/>
        <w:jc w:val="both"/>
      </w:pPr>
      <w:r>
        <w:rPr>
          <w:rFonts w:ascii="Garamond" w:cs="Garamond" w:eastAsia="Garamond" w:hAnsi="Garamond"/>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 a judicial officer immediately.</w:t>
      </w:r>
    </w:p>
    <w:p>
      <w:pPr>
        <w:spacing w:after="60" w:before="200"/>
        <w:ind w:left="863"/>
      </w:pPr>
      <w:r>
        <w:rPr>
          <w:rFonts w:ascii="Courier New" w:cs="Courier New" w:eastAsia="Courier New" w:hAnsi="Courier New"/>
          <w:b/>
          <w:bCs/>
          <w:color w:val="1B2A4A"/>
          <w:sz w:val="18"/>
          <w:szCs w:val="18"/>
        </w:rPr>
        <w:t xml:space="preserve">§1.13.c  </w:t>
      </w:r>
      <w:r>
        <w:rPr>
          <w:rFonts w:ascii="Garamond" w:cs="Garamond" w:eastAsia="Garamond" w:hAnsi="Garamond"/>
          <w:b/>
          <w:bCs/>
          <w:color w:val="1B2A4A"/>
          <w:sz w:val="22"/>
          <w:szCs w:val="22"/>
        </w:rPr>
        <w:t xml:space="preserve">Habeas Corpus</w:t>
      </w:r>
    </w:p>
    <w:p>
      <w:pPr>
        <w:spacing w:after="120" w:before="0"/>
        <w:ind w:left="863"/>
        <w:jc w:val="both"/>
      </w:pPr>
      <w:r>
        <w:rPr>
          <w:rFonts w:ascii="Garamond" w:cs="Garamond" w:eastAsia="Garamond" w:hAnsi="Garamond"/>
          <w:color w:val="2a2520"/>
          <w:sz w:val="22"/>
          <w:szCs w:val="22"/>
        </w:rPr>
        <w:t xml:space="preserve">Any person detained by the State has the absolute right to challenge the lawfulness of their confinement before a judge at any time. The right cannot be suspended by emergency declaration by emergency declaration — it appears in §1.25.b's list of absolutely non-derogable rights.</w:t>
      </w:r>
    </w:p>
    <w:p>
      <w:pPr>
        <w:spacing w:after="60" w:before="200"/>
        <w:ind w:left="863"/>
      </w:pPr>
      <w:r>
        <w:rPr>
          <w:rFonts w:ascii="Courier New" w:cs="Courier New" w:eastAsia="Courier New" w:hAnsi="Courier New"/>
          <w:b/>
          <w:bCs/>
          <w:color w:val="1B2A4A"/>
          <w:sz w:val="18"/>
          <w:szCs w:val="18"/>
        </w:rPr>
        <w:t xml:space="preserve">§1.14.a  </w:t>
      </w:r>
      <w:r>
        <w:rPr>
          <w:rFonts w:ascii="Garamond" w:cs="Garamond" w:eastAsia="Garamond" w:hAnsi="Garamond"/>
          <w:b/>
          <w:bCs/>
          <w:color w:val="1B2A4A"/>
          <w:sz w:val="22"/>
          <w:szCs w:val="22"/>
        </w:rPr>
        <w:t xml:space="preserve">Right to Counsel</w:t>
      </w:r>
    </w:p>
    <w:p>
      <w:pPr>
        <w:spacing w:after="120" w:before="0"/>
        <w:ind w:left="863"/>
        <w:jc w:val="both"/>
      </w:pPr>
      <w:r>
        <w:rPr>
          <w:rFonts w:ascii="Garamond" w:cs="Garamond" w:eastAsia="Garamond" w:hAnsi="Garamond"/>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863"/>
      </w:pPr>
      <w:r>
        <w:rPr>
          <w:rFonts w:ascii="Courier New" w:cs="Courier New" w:eastAsia="Courier New" w:hAnsi="Courier New"/>
          <w:b/>
          <w:bCs/>
          <w:color w:val="1B2A4A"/>
          <w:sz w:val="18"/>
          <w:szCs w:val="18"/>
        </w:rPr>
        <w:t xml:space="preserve">§1.14.b  </w:t>
      </w:r>
      <w:r>
        <w:rPr>
          <w:rFonts w:ascii="Garamond" w:cs="Garamond" w:eastAsia="Garamond" w:hAnsi="Garamond"/>
          <w:b/>
          <w:bCs/>
          <w:color w:val="1B2A4A"/>
          <w:sz w:val="22"/>
          <w:szCs w:val="22"/>
        </w:rPr>
        <w:t xml:space="preserve">Caseload Guarantee</w:t>
      </w:r>
    </w:p>
    <w:p>
      <w:pPr>
        <w:spacing w:after="120" w:before="0"/>
        <w:ind w:left="863"/>
        <w:jc w:val="both"/>
      </w:pPr>
      <w:r>
        <w:rPr>
          <w:rFonts w:ascii="Garamond" w:cs="Garamond" w:eastAsia="Garamond" w:hAnsi="Garamond"/>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863"/>
      </w:pPr>
      <w:r>
        <w:rPr>
          <w:rFonts w:ascii="Courier New" w:cs="Courier New" w:eastAsia="Courier New" w:hAnsi="Courier New"/>
          <w:b/>
          <w:bCs/>
          <w:color w:val="1B2A4A"/>
          <w:sz w:val="18"/>
          <w:szCs w:val="18"/>
        </w:rPr>
        <w:t xml:space="preserve">§1.14.c  </w:t>
      </w:r>
      <w:r>
        <w:rPr>
          <w:rFonts w:ascii="Garamond" w:cs="Garamond" w:eastAsia="Garamond" w:hAnsi="Garamond"/>
          <w:b/>
          <w:bCs/>
          <w:color w:val="1B2A4A"/>
          <w:sz w:val="22"/>
          <w:szCs w:val="22"/>
        </w:rPr>
        <w:t xml:space="preserve">Right to Be Informed of Charges</w:t>
      </w:r>
    </w:p>
    <w:p>
      <w:pPr>
        <w:spacing w:after="120" w:before="0"/>
        <w:ind w:left="863"/>
        <w:jc w:val="both"/>
      </w:pPr>
      <w:r>
        <w:rPr>
          <w:rFonts w:ascii="Garamond" w:cs="Garamond" w:eastAsia="Garamond" w:hAnsi="Garamond"/>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863"/>
      </w:pPr>
      <w:r>
        <w:rPr>
          <w:rFonts w:ascii="Courier New" w:cs="Courier New" w:eastAsia="Courier New" w:hAnsi="Courier New"/>
          <w:b/>
          <w:bCs/>
          <w:color w:val="1B2A4A"/>
          <w:sz w:val="18"/>
          <w:szCs w:val="18"/>
        </w:rPr>
        <w:t xml:space="preserve">§1.14.d  </w:t>
      </w:r>
      <w:r>
        <w:rPr>
          <w:rFonts w:ascii="Garamond" w:cs="Garamond" w:eastAsia="Garamond" w:hAnsi="Garamond"/>
          <w:b/>
          <w:bCs/>
          <w:color w:val="1B2A4A"/>
          <w:sz w:val="22"/>
          <w:szCs w:val="22"/>
        </w:rPr>
        <w:t xml:space="preserve">Right to Full Disclosure</w:t>
      </w:r>
    </w:p>
    <w:p>
      <w:pPr>
        <w:spacing w:after="120" w:before="0"/>
        <w:ind w:left="863"/>
        <w:jc w:val="both"/>
      </w:pPr>
      <w:r>
        <w:rPr>
          <w:rFonts w:ascii="Garamond" w:cs="Garamond" w:eastAsia="Garamond" w:hAnsi="Garamond"/>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863"/>
      </w:pPr>
      <w:r>
        <w:rPr>
          <w:rFonts w:ascii="Courier New" w:cs="Courier New" w:eastAsia="Courier New" w:hAnsi="Courier New"/>
          <w:b/>
          <w:bCs/>
          <w:color w:val="1B2A4A"/>
          <w:sz w:val="18"/>
          <w:szCs w:val="18"/>
        </w:rPr>
        <w:t xml:space="preserve">§1.15.a  </w:t>
      </w:r>
      <w:r>
        <w:rPr>
          <w:rFonts w:ascii="Garamond" w:cs="Garamond" w:eastAsia="Garamond" w:hAnsi="Garamond"/>
          <w:b/>
          <w:bCs/>
          <w:color w:val="1B2A4A"/>
          <w:sz w:val="22"/>
          <w:szCs w:val="22"/>
        </w:rPr>
        <w:t xml:space="preserve">Speedy Trial Principle</w:t>
      </w:r>
    </w:p>
    <w:p>
      <w:pPr>
        <w:spacing w:after="120" w:before="0"/>
        <w:ind w:left="863"/>
        <w:jc w:val="both"/>
      </w:pPr>
      <w:r>
        <w:rPr>
          <w:rFonts w:ascii="Garamond" w:cs="Garamond" w:eastAsia="Garamond" w:hAnsi="Garamond"/>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863"/>
      </w:pPr>
      <w:r>
        <w:rPr>
          <w:rFonts w:ascii="Courier New" w:cs="Courier New" w:eastAsia="Courier New" w:hAnsi="Courier New"/>
          <w:b/>
          <w:bCs/>
          <w:color w:val="1B2A4A"/>
          <w:sz w:val="18"/>
          <w:szCs w:val="18"/>
        </w:rPr>
        <w:t xml:space="preserve">§1.15.b  </w:t>
      </w:r>
      <w:r>
        <w:rPr>
          <w:rFonts w:ascii="Garamond" w:cs="Garamond" w:eastAsia="Garamond" w:hAnsi="Garamond"/>
          <w:b/>
          <w:bCs/>
          <w:color w:val="1B2A4A"/>
          <w:sz w:val="22"/>
          <w:szCs w:val="22"/>
        </w:rPr>
        <w:t xml:space="preserve">Bail Proportionality</w:t>
      </w:r>
    </w:p>
    <w:p>
      <w:pPr>
        <w:spacing w:after="120" w:before="0"/>
        <w:ind w:left="863"/>
        <w:jc w:val="both"/>
      </w:pPr>
      <w:r>
        <w:rPr>
          <w:rFonts w:ascii="Garamond" w:cs="Garamond" w:eastAsia="Garamond" w:hAnsi="Garamond"/>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 to what the accused can actually pay.</w:t>
      </w:r>
    </w:p>
    <w:p>
      <w:pPr>
        <w:spacing w:after="60" w:before="200"/>
        <w:ind w:left="863"/>
      </w:pPr>
      <w:r>
        <w:rPr>
          <w:rFonts w:ascii="Courier New" w:cs="Courier New" w:eastAsia="Courier New" w:hAnsi="Courier New"/>
          <w:b/>
          <w:bCs/>
          <w:color w:val="1B2A4A"/>
          <w:sz w:val="18"/>
          <w:szCs w:val="18"/>
        </w:rPr>
        <w:t xml:space="preserve">§1.15.c  </w:t>
      </w:r>
      <w:r>
        <w:rPr>
          <w:rFonts w:ascii="Garamond" w:cs="Garamond" w:eastAsia="Garamond" w:hAnsi="Garamond"/>
          <w:b/>
          <w:bCs/>
          <w:color w:val="1B2A4A"/>
          <w:sz w:val="22"/>
          <w:szCs w:val="22"/>
        </w:rPr>
        <w:t xml:space="preserve">Protection from Trial Penalties</w:t>
      </w:r>
    </w:p>
    <w:p>
      <w:pPr>
        <w:spacing w:after="120" w:before="0"/>
        <w:ind w:left="863"/>
        <w:jc w:val="both"/>
      </w:pPr>
      <w:r>
        <w:rPr>
          <w:rFonts w:ascii="Garamond" w:cs="Garamond" w:eastAsia="Garamond" w:hAnsi="Garamond"/>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863"/>
      </w:pPr>
      <w:r>
        <w:rPr>
          <w:rFonts w:ascii="Courier New" w:cs="Courier New" w:eastAsia="Courier New" w:hAnsi="Courier New"/>
          <w:b/>
          <w:bCs/>
          <w:color w:val="1B2A4A"/>
          <w:sz w:val="18"/>
          <w:szCs w:val="18"/>
        </w:rPr>
        <w:t xml:space="preserve">§1.15.d  </w:t>
      </w:r>
      <w:r>
        <w:rPr>
          <w:rFonts w:ascii="Garamond" w:cs="Garamond" w:eastAsia="Garamond" w:hAnsi="Garamond"/>
          <w:b/>
          <w:bCs/>
          <w:color w:val="1B2A4A"/>
          <w:sz w:val="22"/>
          <w:szCs w:val="22"/>
        </w:rPr>
        <w:t xml:space="preserve">Source Code Right</w:t>
      </w:r>
    </w:p>
    <w:p>
      <w:pPr>
        <w:spacing w:after="120" w:before="0"/>
        <w:ind w:left="863"/>
        <w:jc w:val="both"/>
      </w:pPr>
      <w:r>
        <w:rPr>
          <w:rFonts w:ascii="Garamond" w:cs="Garamond" w:eastAsia="Garamond" w:hAnsi="Garamond"/>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pPr>
      <w:r>
        <w:rPr>
          <w:rFonts w:ascii="Courier New" w:cs="Courier New" w:eastAsia="Courier New" w:hAnsi="Courier New"/>
          <w:b/>
          <w:bCs/>
          <w:color w:val="1B2A4A"/>
          <w:sz w:val="18"/>
          <w:szCs w:val="18"/>
        </w:rPr>
        <w:t xml:space="preserve">§1.16  </w:t>
      </w:r>
      <w:r>
        <w:rPr>
          <w:rFonts w:ascii="Garamond" w:cs="Garamond" w:eastAsia="Garamond" w:hAnsi="Garamond"/>
          <w:b/>
          <w:bCs/>
          <w:color w:val="1B2A4A"/>
          <w:sz w:val="22"/>
          <w:szCs w:val="22"/>
        </w:rPr>
        <w:t xml:space="preserve">Right to Silence</w:t>
      </w:r>
    </w:p>
    <w:p>
      <w:pPr>
        <w:spacing w:after="120" w:before="0"/>
        <w:ind w:left="431"/>
        <w:jc w:val="both"/>
      </w:pPr>
      <w:r>
        <w:rPr>
          <w:rFonts w:ascii="Garamond" w:cs="Garamond" w:eastAsia="Garamond" w:hAnsi="Garamond"/>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§1.9.c, this extends to cryptographic keys.</w:t>
      </w:r>
    </w:p>
    <w:p>
      <w:pPr>
        <w:spacing w:after="60" w:before="200"/>
        <w:ind w:left="431"/>
      </w:pPr>
      <w:r>
        <w:rPr>
          <w:rFonts w:ascii="Courier New" w:cs="Courier New" w:eastAsia="Courier New" w:hAnsi="Courier New"/>
          <w:b/>
          <w:bCs/>
          <w:color w:val="1B2A4A"/>
          <w:sz w:val="18"/>
          <w:szCs w:val="18"/>
        </w:rPr>
        <w:t xml:space="preserve">§1.17  </w:t>
      </w:r>
      <w:r>
        <w:rPr>
          <w:rFonts w:ascii="Garamond" w:cs="Garamond" w:eastAsia="Garamond" w:hAnsi="Garamond"/>
          <w:b/>
          <w:bCs/>
          <w:color w:val="1B2A4A"/>
          <w:sz w:val="22"/>
          <w:szCs w:val="22"/>
        </w:rPr>
        <w:t xml:space="preserve">Right to a Public Trial</w:t>
      </w:r>
    </w:p>
    <w:p>
      <w:pPr>
        <w:spacing w:after="120" w:before="0"/>
        <w:ind w:left="431"/>
        <w:jc w:val="both"/>
      </w:pPr>
      <w:r>
        <w:rPr>
          <w:rFonts w:ascii="Garamond" w:cs="Garamond" w:eastAsia="Garamond" w:hAnsi="Garamond"/>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863"/>
      </w:pPr>
      <w:r>
        <w:rPr>
          <w:rFonts w:ascii="Courier New" w:cs="Courier New" w:eastAsia="Courier New" w:hAnsi="Courier New"/>
          <w:b/>
          <w:bCs/>
          <w:color w:val="1B2A4A"/>
          <w:sz w:val="18"/>
          <w:szCs w:val="18"/>
        </w:rPr>
        <w:t xml:space="preserve">§1.18.a  </w:t>
      </w:r>
      <w:r>
        <w:rPr>
          <w:rFonts w:ascii="Garamond" w:cs="Garamond" w:eastAsia="Garamond" w:hAnsi="Garamond"/>
          <w:b/>
          <w:bCs/>
          <w:color w:val="1B2A4A"/>
          <w:sz w:val="22"/>
          <w:szCs w:val="22"/>
        </w:rPr>
        <w:t xml:space="preserve">No Retroactive Criminal Laws</w:t>
      </w:r>
    </w:p>
    <w:p>
      <w:pPr>
        <w:spacing w:after="120" w:before="0"/>
        <w:ind w:left="863"/>
        <w:jc w:val="both"/>
      </w:pPr>
      <w:r>
        <w:rPr>
          <w:rFonts w:ascii="Garamond" w:cs="Garamond" w:eastAsia="Garamond" w:hAnsi="Garamond"/>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863"/>
      </w:pPr>
      <w:r>
        <w:rPr>
          <w:rFonts w:ascii="Courier New" w:cs="Courier New" w:eastAsia="Courier New" w:hAnsi="Courier New"/>
          <w:b/>
          <w:bCs/>
          <w:color w:val="1B2A4A"/>
          <w:sz w:val="18"/>
          <w:szCs w:val="18"/>
        </w:rPr>
        <w:t xml:space="preserve">§1.18.b  </w:t>
      </w:r>
      <w:r>
        <w:rPr>
          <w:rFonts w:ascii="Garamond" w:cs="Garamond" w:eastAsia="Garamond" w:hAnsi="Garamond"/>
          <w:b/>
          <w:bCs/>
          <w:color w:val="1B2A4A"/>
          <w:sz w:val="22"/>
          <w:szCs w:val="22"/>
        </w:rPr>
        <w:t xml:space="preserve">Double Jeopardy</w:t>
      </w:r>
    </w:p>
    <w:p>
      <w:pPr>
        <w:spacing w:after="120" w:before="0"/>
        <w:ind w:left="863"/>
        <w:jc w:val="both"/>
      </w:pPr>
      <w:r>
        <w:rPr>
          <w:rFonts w:ascii="Garamond" w:cs="Garamond" w:eastAsia="Garamond" w:hAnsi="Garamond"/>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pPr>
      <w:r>
        <w:rPr>
          <w:rFonts w:ascii="Courier New" w:cs="Courier New" w:eastAsia="Courier New" w:hAnsi="Courier New"/>
          <w:b/>
          <w:bCs/>
          <w:color w:val="1B2A4A"/>
          <w:sz w:val="18"/>
          <w:szCs w:val="18"/>
        </w:rPr>
        <w:t xml:space="preserve">§1.19  </w:t>
      </w:r>
      <w:r>
        <w:rPr>
          <w:rFonts w:ascii="Garamond" w:cs="Garamond" w:eastAsia="Garamond" w:hAnsi="Garamond"/>
          <w:b/>
          <w:bCs/>
          <w:color w:val="1B2A4A"/>
          <w:sz w:val="22"/>
          <w:szCs w:val="22"/>
        </w:rPr>
        <w:t xml:space="preserve">Right to Democratic Participation</w:t>
      </w:r>
    </w:p>
    <w:p>
      <w:pPr>
        <w:spacing w:after="120" w:before="0"/>
        <w:ind w:left="431"/>
        <w:jc w:val="both"/>
      </w:pPr>
      <w:r>
        <w:rPr>
          <w:rFonts w:ascii="Garamond" w:cs="Garamond" w:eastAsia="Garamond" w:hAnsi="Garamond"/>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The provision is self-executing: a citizen facing a material barrier may bring a constitutional claim directly in court. The right to democratic participation is the meta-right on which all other constitutional rights depend — a citizenry unable to vote cannot protect any of the other rights this Article guarantees.</w:t>
      </w:r>
    </w:p>
    <w:p>
      <w:pPr>
        <w:spacing w:after="60" w:before="200"/>
        <w:ind w:left="431"/>
      </w:pPr>
      <w:r>
        <w:rPr>
          <w:rFonts w:ascii="Courier New" w:cs="Courier New" w:eastAsia="Courier New" w:hAnsi="Courier New"/>
          <w:b/>
          <w:bCs/>
          <w:color w:val="1B2A4A"/>
          <w:sz w:val="18"/>
          <w:szCs w:val="18"/>
        </w:rPr>
        <w:t xml:space="preserve">§1.2  </w:t>
      </w:r>
      <w:r>
        <w:rPr>
          <w:rFonts w:ascii="Garamond" w:cs="Garamond" w:eastAsia="Garamond" w:hAnsi="Garamond"/>
          <w:b/>
          <w:bCs/>
          <w:color w:val="1B2A4A"/>
          <w:sz w:val="22"/>
          <w:szCs w:val="22"/>
        </w:rPr>
        <w:t xml:space="preserve">Prohibition of Torture and Cruel Treatment</w:t>
      </w:r>
    </w:p>
    <w:p>
      <w:pPr>
        <w:spacing w:after="120" w:before="0"/>
        <w:ind w:left="431"/>
        <w:jc w:val="both"/>
      </w:pPr>
      <w:r>
        <w:rPr>
          <w:rFonts w:ascii="Garamond" w:cs="Garamond" w:eastAsia="Garamond" w:hAnsi="Garamond"/>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pPr>
      <w:r>
        <w:rPr>
          <w:rFonts w:ascii="Courier New" w:cs="Courier New" w:eastAsia="Courier New" w:hAnsi="Courier New"/>
          <w:b/>
          <w:bCs/>
          <w:color w:val="1B2A4A"/>
          <w:sz w:val="18"/>
          <w:szCs w:val="18"/>
        </w:rPr>
        <w:t xml:space="preserve">§1.20  </w:t>
      </w:r>
      <w:r>
        <w:rPr>
          <w:rFonts w:ascii="Garamond" w:cs="Garamond" w:eastAsia="Garamond" w:hAnsi="Garamond"/>
          <w:b/>
          <w:bCs/>
          <w:color w:val="1B2A4A"/>
          <w:sz w:val="22"/>
          <w:szCs w:val="22"/>
        </w:rPr>
        <w:t xml:space="preserve">Right to Marry and Found a Family</w:t>
      </w:r>
    </w:p>
    <w:p>
      <w:pPr>
        <w:spacing w:after="120" w:before="0"/>
        <w:ind w:left="431"/>
        <w:jc w:val="both"/>
      </w:pPr>
      <w:r>
        <w:rPr>
          <w:rFonts w:ascii="Garamond" w:cs="Garamond" w:eastAsia="Garamond" w:hAnsi="Garamond"/>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pPr>
      <w:r>
        <w:rPr>
          <w:rFonts w:ascii="Courier New" w:cs="Courier New" w:eastAsia="Courier New" w:hAnsi="Courier New"/>
          <w:b/>
          <w:bCs/>
          <w:color w:val="1B2A4A"/>
          <w:sz w:val="18"/>
          <w:szCs w:val="18"/>
        </w:rPr>
        <w:t xml:space="preserve">§1.21  </w:t>
      </w:r>
      <w:r>
        <w:rPr>
          <w:rFonts w:ascii="Garamond" w:cs="Garamond" w:eastAsia="Garamond" w:hAnsi="Garamond"/>
          <w:b/>
          <w:bCs/>
          <w:color w:val="1B2A4A"/>
          <w:sz w:val="22"/>
          <w:szCs w:val="22"/>
        </w:rPr>
        <w:t xml:space="preserve">Rights of Children</w:t>
      </w:r>
    </w:p>
    <w:p>
      <w:pPr>
        <w:spacing w:after="120" w:before="0"/>
        <w:ind w:left="431"/>
        <w:jc w:val="both"/>
      </w:pPr>
      <w:r>
        <w:rPr>
          <w:rFonts w:ascii="Garamond" w:cs="Garamond" w:eastAsia="Garamond" w:hAnsi="Garamond"/>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 The protection of children is the one area where the Individual Sovereignty Floor explicitly sets 'the primary' rather than 'a' standard.</w:t>
      </w:r>
    </w:p>
    <w:p>
      <w:pPr>
        <w:spacing w:after="60" w:before="200"/>
        <w:ind w:left="431"/>
      </w:pPr>
      <w:r>
        <w:rPr>
          <w:rFonts w:ascii="Courier New" w:cs="Courier New" w:eastAsia="Courier New" w:hAnsi="Courier New"/>
          <w:b/>
          <w:bCs/>
          <w:color w:val="1B2A4A"/>
          <w:sz w:val="18"/>
          <w:szCs w:val="18"/>
        </w:rPr>
        <w:t xml:space="preserve">§1.22  </w:t>
      </w:r>
      <w:r>
        <w:rPr>
          <w:rFonts w:ascii="Garamond" w:cs="Garamond" w:eastAsia="Garamond" w:hAnsi="Garamond"/>
          <w:b/>
          <w:bCs/>
          <w:color w:val="1B2A4A"/>
          <w:sz w:val="22"/>
          <w:szCs w:val="22"/>
        </w:rPr>
        <w:t xml:space="preserve">Environmental Accountability</w:t>
      </w:r>
    </w:p>
    <w:p>
      <w:pPr>
        <w:spacing w:after="120" w:before="0"/>
        <w:ind w:left="431"/>
        <w:jc w:val="both"/>
      </w:pPr>
      <w:r>
        <w:rPr>
          <w:rFonts w:ascii="Garamond" w:cs="Garamond" w:eastAsia="Garamond" w:hAnsi="Garamond"/>
          <w:color w:val="2a2520"/>
          <w:sz w:val="22"/>
          <w:szCs w:val="22"/>
        </w:rPr>
        <w:t xml:space="preserve">Article I's environmental provisions establish two constitutional obligations: Government Non-Harm (§1.22.a) prevents authorities from knowingly exposing communities to environmental hazards without disclosure, consultation, and mitigation; Environmental Stewardship (§1.22.b) creates an enforceable duty to maintain ecological integrity. Together they make environmental protection a constitutional obligation with Inspectorate reporting requirements, not merely a policy preference.</w:t>
      </w:r>
    </w:p>
    <w:p>
      <w:pPr>
        <w:spacing w:after="60" w:before="200"/>
        <w:ind w:left="863"/>
      </w:pPr>
      <w:r>
        <w:rPr>
          <w:rFonts w:ascii="Courier New" w:cs="Courier New" w:eastAsia="Courier New" w:hAnsi="Courier New"/>
          <w:b/>
          <w:bCs/>
          <w:color w:val="1B2A4A"/>
          <w:sz w:val="18"/>
          <w:szCs w:val="18"/>
        </w:rPr>
        <w:t xml:space="preserve">§1.22.a  </w:t>
      </w:r>
      <w:r>
        <w:rPr>
          <w:rFonts w:ascii="Garamond" w:cs="Garamond" w:eastAsia="Garamond" w:hAnsi="Garamond"/>
          <w:b/>
          <w:bCs/>
          <w:color w:val="1B2A4A"/>
          <w:sz w:val="22"/>
          <w:szCs w:val="22"/>
        </w:rPr>
        <w:t xml:space="preserve">Government Non-Harm</w:t>
      </w:r>
    </w:p>
    <w:p>
      <w:pPr>
        <w:spacing w:after="120" w:before="0"/>
        <w:ind w:left="863"/>
        <w:jc w:val="both"/>
      </w:pPr>
      <w:r>
        <w:rPr>
          <w:rFonts w:ascii="Garamond" w:cs="Garamond" w:eastAsia="Garamond" w:hAnsi="Garamond"/>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a constitutional violation, not merely a policy failure.</w:t>
      </w:r>
    </w:p>
    <w:p>
      <w:pPr>
        <w:spacing w:after="60" w:before="200"/>
        <w:ind w:left="863"/>
      </w:pPr>
      <w:r>
        <w:rPr>
          <w:rFonts w:ascii="Courier New" w:cs="Courier New" w:eastAsia="Courier New" w:hAnsi="Courier New"/>
          <w:b/>
          <w:bCs/>
          <w:color w:val="1B2A4A"/>
          <w:sz w:val="18"/>
          <w:szCs w:val="18"/>
        </w:rPr>
        <w:t xml:space="preserve">§1.22.b  </w:t>
      </w:r>
      <w:r>
        <w:rPr>
          <w:rFonts w:ascii="Garamond" w:cs="Garamond" w:eastAsia="Garamond" w:hAnsi="Garamond"/>
          <w:b/>
          <w:bCs/>
          <w:color w:val="1B2A4A"/>
          <w:sz w:val="22"/>
          <w:szCs w:val="22"/>
        </w:rPr>
        <w:t xml:space="preserve">Environmental Stewardship</w:t>
      </w:r>
    </w:p>
    <w:p>
      <w:pPr>
        <w:spacing w:after="120" w:before="0"/>
        <w:ind w:left="863"/>
        <w:jc w:val="both"/>
      </w:pPr>
      <w:r>
        <w:rPr>
          <w:rFonts w:ascii="Garamond" w:cs="Garamond" w:eastAsia="Garamond" w:hAnsi="Garamond"/>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pPr>
      <w:r>
        <w:rPr>
          <w:rFonts w:ascii="Courier New" w:cs="Courier New" w:eastAsia="Courier New" w:hAnsi="Courier New"/>
          <w:b/>
          <w:bCs/>
          <w:color w:val="1B2A4A"/>
          <w:sz w:val="18"/>
          <w:szCs w:val="18"/>
        </w:rPr>
        <w:t xml:space="preserve">§1.23  </w:t>
      </w:r>
      <w:r>
        <w:rPr>
          <w:rFonts w:ascii="Garamond" w:cs="Garamond" w:eastAsia="Garamond" w:hAnsi="Garamond"/>
          <w:b/>
          <w:bCs/>
          <w:color w:val="1B2A4A"/>
          <w:sz w:val="22"/>
          <w:szCs w:val="22"/>
        </w:rPr>
        <w:t xml:space="preserve">Federal Education Assistance</w:t>
      </w:r>
    </w:p>
    <w:p>
      <w:pPr>
        <w:spacing w:after="120" w:before="0"/>
        <w:ind w:left="431"/>
        <w:jc w:val="both"/>
      </w:pPr>
      <w:r>
        <w:rPr>
          <w:rFonts w:ascii="Garamond" w:cs="Garamond" w:eastAsia="Garamond" w:hAnsi="Garamond"/>
          <w:color w:val="2a2520"/>
          <w:sz w:val="22"/>
          <w:szCs w:val="22"/>
        </w:rPr>
        <w:t xml:space="preserve">Three interlocking education provisions: §1.23.a requires the Republic to fund education assistance so no child's opportunity depends on their territory's wealth. §1.23.b requires public education to equip students to meet the Constitutional Logic Test standard — education for citizenship is a constitutional obligation. §1.23.c preserves parental choice: the Republic sets the floor; it may not mandate the method.</w:t>
      </w:r>
    </w:p>
    <w:p>
      <w:pPr>
        <w:spacing w:after="60" w:before="200"/>
        <w:ind w:left="863"/>
      </w:pPr>
      <w:r>
        <w:rPr>
          <w:rFonts w:ascii="Courier New" w:cs="Courier New" w:eastAsia="Courier New" w:hAnsi="Courier New"/>
          <w:b/>
          <w:bCs/>
          <w:color w:val="1B2A4A"/>
          <w:sz w:val="18"/>
          <w:szCs w:val="18"/>
        </w:rPr>
        <w:t xml:space="preserve">§1.23.a  </w:t>
      </w:r>
      <w:r>
        <w:rPr>
          <w:rFonts w:ascii="Garamond" w:cs="Garamond" w:eastAsia="Garamond" w:hAnsi="Garamond"/>
          <w:b/>
          <w:bCs/>
          <w:color w:val="1B2A4A"/>
          <w:sz w:val="22"/>
          <w:szCs w:val="22"/>
        </w:rPr>
        <w:t xml:space="preserve">Federal Education Assistance</w:t>
      </w:r>
    </w:p>
    <w:p>
      <w:pPr>
        <w:spacing w:after="120" w:before="0"/>
        <w:ind w:left="863"/>
        <w:jc w:val="both"/>
      </w:pPr>
      <w:r>
        <w:rPr>
          <w:rFonts w:ascii="Garamond" w:cs="Garamond" w:eastAsia="Garamond" w:hAnsi="Garamond"/>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863"/>
      </w:pPr>
      <w:r>
        <w:rPr>
          <w:rFonts w:ascii="Courier New" w:cs="Courier New" w:eastAsia="Courier New" w:hAnsi="Courier New"/>
          <w:b/>
          <w:bCs/>
          <w:color w:val="1B2A4A"/>
          <w:sz w:val="18"/>
          <w:szCs w:val="18"/>
        </w:rPr>
        <w:t xml:space="preserve">§1.23.b  </w:t>
      </w:r>
      <w:r>
        <w:rPr>
          <w:rFonts w:ascii="Garamond" w:cs="Garamond" w:eastAsia="Garamond" w:hAnsi="Garamond"/>
          <w:b/>
          <w:bCs/>
          <w:color w:val="1B2A4A"/>
          <w:sz w:val="22"/>
          <w:szCs w:val="22"/>
        </w:rPr>
        <w:t xml:space="preserve">Constitutional Literacy</w:t>
      </w:r>
    </w:p>
    <w:p>
      <w:pPr>
        <w:spacing w:after="120" w:before="0"/>
        <w:ind w:left="863"/>
        <w:jc w:val="both"/>
      </w:pPr>
      <w:r>
        <w:rPr>
          <w:rFonts w:ascii="Garamond" w:cs="Garamond" w:eastAsia="Garamond" w:hAnsi="Garamond"/>
          <w:color w:val="2a2520"/>
          <w:sz w:val="22"/>
          <w:szCs w:val="22"/>
        </w:rPr>
        <w:t xml:space="preserve">The Republic's constitutional literacy standard for citizenship purposes is the CLT, defined in §5.4. Public education must equip students to meet that standard — education for citizenship is a constitutional obligation, not a civic nicety.</w:t>
      </w:r>
    </w:p>
    <w:p>
      <w:pPr>
        <w:spacing w:after="60" w:before="200"/>
        <w:ind w:left="863"/>
      </w:pPr>
      <w:r>
        <w:rPr>
          <w:rFonts w:ascii="Courier New" w:cs="Courier New" w:eastAsia="Courier New" w:hAnsi="Courier New"/>
          <w:b/>
          <w:bCs/>
          <w:color w:val="1B2A4A"/>
          <w:sz w:val="18"/>
          <w:szCs w:val="18"/>
        </w:rPr>
        <w:t xml:space="preserve">§1.23.c  </w:t>
      </w:r>
      <w:r>
        <w:rPr>
          <w:rFonts w:ascii="Garamond" w:cs="Garamond" w:eastAsia="Garamond" w:hAnsi="Garamond"/>
          <w:b/>
          <w:bCs/>
          <w:color w:val="1B2A4A"/>
          <w:sz w:val="22"/>
          <w:szCs w:val="22"/>
        </w:rPr>
        <w:t xml:space="preserve">Parental Right</w:t>
      </w:r>
    </w:p>
    <w:p>
      <w:pPr>
        <w:spacing w:after="120" w:before="0"/>
        <w:ind w:left="863"/>
        <w:jc w:val="both"/>
      </w:pPr>
      <w:r>
        <w:rPr>
          <w:rFonts w:ascii="Garamond" w:cs="Garamond" w:eastAsia="Garamond" w:hAnsi="Garamond"/>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pPr>
      <w:r>
        <w:rPr>
          <w:rFonts w:ascii="Courier New" w:cs="Courier New" w:eastAsia="Courier New" w:hAnsi="Courier New"/>
          <w:b/>
          <w:bCs/>
          <w:color w:val="1B2A4A"/>
          <w:sz w:val="18"/>
          <w:szCs w:val="18"/>
        </w:rPr>
        <w:t xml:space="preserve">§1.24  </w:t>
      </w:r>
      <w:r>
        <w:rPr>
          <w:rFonts w:ascii="Garamond" w:cs="Garamond" w:eastAsia="Garamond" w:hAnsi="Garamond"/>
          <w:b/>
          <w:bCs/>
          <w:color w:val="1B2A4A"/>
          <w:sz w:val="22"/>
          <w:szCs w:val="22"/>
        </w:rPr>
        <w:t xml:space="preserve">Housing Non-Exclusion</w:t>
      </w:r>
    </w:p>
    <w:p>
      <w:pPr>
        <w:spacing w:after="120" w:before="0"/>
        <w:ind w:left="431"/>
        <w:jc w:val="both"/>
      </w:pPr>
      <w:r>
        <w:rPr>
          <w:rFonts w:ascii="Garamond" w:cs="Garamond" w:eastAsia="Garamond" w:hAnsi="Garamond"/>
          <w:color w:val="2a2520"/>
          <w:sz w:val="22"/>
          <w:szCs w:val="22"/>
        </w:rPr>
        <w:t xml:space="preserve">Article I's housing provisions create constitutional barriers to exclusion and a constitutional obligation to provide. The Non-Exclusion Principle (§1.24.a) prohibits exclusionary zoning and any regulatory mechanism designed to keep certain populations out. The BNF Housing Obligation (§1.24.b) anchors housing as a Basic Needs Floor category — persons who cannot independently secure housing are constitutionally entitled to it through the BNF system.</w:t>
      </w:r>
    </w:p>
    <w:p>
      <w:pPr>
        <w:spacing w:after="60" w:before="200"/>
        <w:ind w:left="863"/>
      </w:pPr>
      <w:r>
        <w:rPr>
          <w:rFonts w:ascii="Courier New" w:cs="Courier New" w:eastAsia="Courier New" w:hAnsi="Courier New"/>
          <w:b/>
          <w:bCs/>
          <w:color w:val="1B2A4A"/>
          <w:sz w:val="18"/>
          <w:szCs w:val="18"/>
        </w:rPr>
        <w:t xml:space="preserve">§1.24.a  </w:t>
      </w:r>
      <w:r>
        <w:rPr>
          <w:rFonts w:ascii="Garamond" w:cs="Garamond" w:eastAsia="Garamond" w:hAnsi="Garamond"/>
          <w:b/>
          <w:bCs/>
          <w:color w:val="1B2A4A"/>
          <w:sz w:val="22"/>
          <w:szCs w:val="22"/>
        </w:rPr>
        <w:t xml:space="preserve">Non-Exclusion Principle</w:t>
      </w:r>
    </w:p>
    <w:p>
      <w:pPr>
        <w:spacing w:after="120" w:before="0"/>
        <w:ind w:left="863"/>
        <w:jc w:val="both"/>
      </w:pPr>
      <w:r>
        <w:rPr>
          <w:rFonts w:ascii="Garamond" w:cs="Garamond" w:eastAsia="Garamond" w:hAnsi="Garamond"/>
          <w:color w:val="2a2520"/>
          <w:sz w:val="22"/>
          <w:szCs w:val="22"/>
        </w:rPr>
        <w:t xml:space="preserve">No government authority — federal, State, or local — may use regulatory or land-use powers to exclude any person from access to housing on the basis of any characteristic enumerated in §1.8. Exclusionary zoning designed to keep certain populations out of a community is constitutionally prohibited.</w:t>
      </w:r>
    </w:p>
    <w:p>
      <w:pPr>
        <w:spacing w:after="60" w:before="200"/>
        <w:ind w:left="863"/>
      </w:pPr>
      <w:r>
        <w:rPr>
          <w:rFonts w:ascii="Courier New" w:cs="Courier New" w:eastAsia="Courier New" w:hAnsi="Courier New"/>
          <w:b/>
          <w:bCs/>
          <w:color w:val="1B2A4A"/>
          <w:sz w:val="18"/>
          <w:szCs w:val="18"/>
        </w:rPr>
        <w:t xml:space="preserve">§1.24.b  </w:t>
      </w:r>
      <w:r>
        <w:rPr>
          <w:rFonts w:ascii="Garamond" w:cs="Garamond" w:eastAsia="Garamond" w:hAnsi="Garamond"/>
          <w:b/>
          <w:bCs/>
          <w:color w:val="1B2A4A"/>
          <w:sz w:val="22"/>
          <w:szCs w:val="22"/>
        </w:rPr>
        <w:t xml:space="preserve">BNF Housing Obligation</w:t>
      </w:r>
    </w:p>
    <w:p>
      <w:pPr>
        <w:spacing w:after="120" w:before="0"/>
        <w:ind w:left="863"/>
        <w:jc w:val="both"/>
      </w:pPr>
      <w:r>
        <w:rPr>
          <w:rFonts w:ascii="Garamond" w:cs="Garamond" w:eastAsia="Garamond" w:hAnsi="Garamond"/>
          <w:color w:val="2a2520"/>
          <w:sz w:val="22"/>
          <w:szCs w:val="22"/>
        </w:rPr>
        <w:t xml:space="preserve">The Republic's obligation to ensure housing access for persons who cannot independently secure it is part of the Basic Needs Floor under §10.1. This provision anchors housing as a BNF category and makes housing exclusion an enforceable constitutional violation.</w:t>
      </w:r>
    </w:p>
    <w:p>
      <w:pPr>
        <w:spacing w:after="60" w:before="200"/>
        <w:ind w:left="863"/>
      </w:pPr>
      <w:r>
        <w:rPr>
          <w:rFonts w:ascii="Courier New" w:cs="Courier New" w:eastAsia="Courier New" w:hAnsi="Courier New"/>
          <w:b/>
          <w:bCs/>
          <w:color w:val="1B2A4A"/>
          <w:sz w:val="18"/>
          <w:szCs w:val="18"/>
        </w:rPr>
        <w:t xml:space="preserve">§1.25.a  </w:t>
      </w:r>
      <w:r>
        <w:rPr>
          <w:rFonts w:ascii="Garamond" w:cs="Garamond" w:eastAsia="Garamond" w:hAnsi="Garamond"/>
          <w:b/>
          <w:bCs/>
          <w:color w:val="1B2A4A"/>
          <w:sz w:val="22"/>
          <w:szCs w:val="22"/>
        </w:rPr>
        <w:t xml:space="preserve">Emergency Derogation — Declaration Requirements</w:t>
      </w:r>
    </w:p>
    <w:p>
      <w:pPr>
        <w:spacing w:after="120" w:before="0"/>
        <w:ind w:left="863"/>
        <w:jc w:val="both"/>
      </w:pPr>
      <w:r>
        <w:rPr>
          <w:rFonts w:ascii="Garamond" w:cs="Garamond" w:eastAsia="Garamond" w:hAnsi="Garamond"/>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(§1.25.d) without renewal ensures that even a properly declared emergency cannot become a permanent parallel constitutional order through inaction or extension by the same actor who declared it.</w:t>
      </w:r>
    </w:p>
    <w:p>
      <w:pPr>
        <w:spacing w:after="60" w:before="200"/>
        <w:ind w:left="863"/>
      </w:pPr>
      <w:r>
        <w:rPr>
          <w:rFonts w:ascii="Courier New" w:cs="Courier New" w:eastAsia="Courier New" w:hAnsi="Courier New"/>
          <w:b/>
          <w:bCs/>
          <w:color w:val="1B2A4A"/>
          <w:sz w:val="18"/>
          <w:szCs w:val="18"/>
        </w:rPr>
        <w:t xml:space="preserve">§1.25.b  </w:t>
      </w:r>
      <w:r>
        <w:rPr>
          <w:rFonts w:ascii="Garamond" w:cs="Garamond" w:eastAsia="Garamond" w:hAnsi="Garamond"/>
          <w:b/>
          <w:bCs/>
          <w:color w:val="1B2A4A"/>
          <w:sz w:val="22"/>
          <w:szCs w:val="22"/>
        </w:rPr>
        <w:t xml:space="preserve">Non-Derogable Rights</w:t>
      </w:r>
    </w:p>
    <w:p>
      <w:pPr>
        <w:spacing w:after="120" w:before="0"/>
        <w:ind w:left="863"/>
        <w:jc w:val="both"/>
      </w:pPr>
      <w:r>
        <w:rPr>
          <w:rFonts w:ascii="Garamond" w:cs="Garamond" w:eastAsia="Garamond" w:hAnsi="Garamond"/>
          <w:color w:val="2a2520"/>
          <w:sz w:val="22"/>
          <w:szCs w:val="22"/>
        </w:rPr>
        <w:t xml:space="preserve">These five rights are absolute under any circumstances: the prohibition on torture (§1.2); slavery (§1.3); habeas corpus (§1.13); the right to a public trial (§1.17); and no retroactive punishment (§1.18).</w:t>
      </w:r>
    </w:p>
    <w:p>
      <w:pPr>
        <w:spacing w:after="60" w:before="200"/>
        <w:ind w:left="863"/>
      </w:pPr>
      <w:r>
        <w:rPr>
          <w:rFonts w:ascii="Courier New" w:cs="Courier New" w:eastAsia="Courier New" w:hAnsi="Courier New"/>
          <w:b/>
          <w:bCs/>
          <w:color w:val="1B2A4A"/>
          <w:sz w:val="18"/>
          <w:szCs w:val="18"/>
        </w:rPr>
        <w:t xml:space="preserve">§1.25.c  </w:t>
      </w:r>
      <w:r>
        <w:rPr>
          <w:rFonts w:ascii="Garamond" w:cs="Garamond" w:eastAsia="Garamond" w:hAnsi="Garamond"/>
          <w:b/>
          <w:bCs/>
          <w:color w:val="1B2A4A"/>
          <w:sz w:val="22"/>
          <w:szCs w:val="22"/>
        </w:rPr>
        <w:t xml:space="preserve">Inspectorate Continuity</w:t>
      </w:r>
    </w:p>
    <w:p>
      <w:pPr>
        <w:spacing w:after="120" w:before="0"/>
        <w:ind w:left="863"/>
        <w:jc w:val="both"/>
      </w:pPr>
      <w:r>
        <w:rPr>
          <w:rFonts w:ascii="Garamond" w:cs="Garamond" w:eastAsia="Garamond" w:hAnsi="Garamond"/>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863"/>
      </w:pPr>
      <w:r>
        <w:rPr>
          <w:rFonts w:ascii="Courier New" w:cs="Courier New" w:eastAsia="Courier New" w:hAnsi="Courier New"/>
          <w:b/>
          <w:bCs/>
          <w:color w:val="1B2A4A"/>
          <w:sz w:val="18"/>
          <w:szCs w:val="18"/>
        </w:rPr>
        <w:t xml:space="preserve">§1.25.d  </w:t>
      </w:r>
      <w:r>
        <w:rPr>
          <w:rFonts w:ascii="Garamond" w:cs="Garamond" w:eastAsia="Garamond" w:hAnsi="Garamond"/>
          <w:b/>
          <w:bCs/>
          <w:color w:val="1B2A4A"/>
          <w:sz w:val="22"/>
          <w:szCs w:val="22"/>
        </w:rPr>
        <w:t xml:space="preserve">Automatic Expiry and Judicial Review</w:t>
      </w:r>
    </w:p>
    <w:p>
      <w:pPr>
        <w:spacing w:after="120" w:before="0"/>
        <w:ind w:left="863"/>
        <w:jc w:val="both"/>
      </w:pPr>
      <w:r>
        <w:rPr>
          <w:rFonts w:ascii="Garamond" w:cs="Garamond" w:eastAsia="Garamond" w:hAnsi="Garamond"/>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863"/>
      </w:pPr>
      <w:r>
        <w:rPr>
          <w:rFonts w:ascii="Courier New" w:cs="Courier New" w:eastAsia="Courier New" w:hAnsi="Courier New"/>
          <w:b/>
          <w:bCs/>
          <w:color w:val="1B2A4A"/>
          <w:sz w:val="18"/>
          <w:szCs w:val="18"/>
        </w:rPr>
        <w:t xml:space="preserve">§1.25.e  </w:t>
      </w:r>
      <w:r>
        <w:rPr>
          <w:rFonts w:ascii="Garamond" w:cs="Garamond" w:eastAsia="Garamond" w:hAnsi="Garamond"/>
          <w:b/>
          <w:bCs/>
          <w:color w:val="1B2A4A"/>
          <w:sz w:val="22"/>
          <w:szCs w:val="22"/>
        </w:rPr>
        <w:t xml:space="preserve">No Permanent Emergency</w:t>
      </w:r>
    </w:p>
    <w:p>
      <w:pPr>
        <w:spacing w:after="120" w:before="0"/>
        <w:ind w:left="863"/>
        <w:jc w:val="both"/>
      </w:pPr>
      <w:r>
        <w:rPr>
          <w:rFonts w:ascii="Garamond" w:cs="Garamond" w:eastAsia="Garamond" w:hAnsi="Garamond"/>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pPr>
      <w:r>
        <w:rPr>
          <w:rFonts w:ascii="Courier New" w:cs="Courier New" w:eastAsia="Courier New" w:hAnsi="Courier New"/>
          <w:b/>
          <w:bCs/>
          <w:color w:val="1B2A4A"/>
          <w:sz w:val="18"/>
          <w:szCs w:val="18"/>
        </w:rPr>
        <w:t xml:space="preserve">§1.26  </w:t>
      </w:r>
      <w:r>
        <w:rPr>
          <w:rFonts w:ascii="Garamond" w:cs="Garamond" w:eastAsia="Garamond" w:hAnsi="Garamond"/>
          <w:b/>
          <w:bCs/>
          <w:color w:val="1B2A4A"/>
          <w:sz w:val="22"/>
          <w:szCs w:val="22"/>
        </w:rPr>
        <w:t xml:space="preserve">Associated Community Residents</w:t>
      </w:r>
    </w:p>
    <w:p>
      <w:pPr>
        <w:spacing w:after="120" w:before="0"/>
        <w:ind w:left="431"/>
        <w:jc w:val="both"/>
      </w:pPr>
      <w:r>
        <w:rPr>
          <w:rFonts w:ascii="Garamond" w:cs="Garamond" w:eastAsia="Garamond" w:hAnsi="Garamond"/>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pPr>
      <w:r>
        <w:rPr>
          <w:rFonts w:ascii="Courier New" w:cs="Courier New" w:eastAsia="Courier New" w:hAnsi="Courier New"/>
          <w:b/>
          <w:bCs/>
          <w:color w:val="1B2A4A"/>
          <w:sz w:val="18"/>
          <w:szCs w:val="18"/>
        </w:rPr>
        <w:t xml:space="preserve">§1.27  </w:t>
      </w:r>
      <w:r>
        <w:rPr>
          <w:rFonts w:ascii="Garamond" w:cs="Garamond" w:eastAsia="Garamond" w:hAnsi="Garamond"/>
          <w:b/>
          <w:bCs/>
          <w:color w:val="1B2A4A"/>
          <w:sz w:val="22"/>
          <w:szCs w:val="22"/>
        </w:rPr>
        <w:t xml:space="preserve">Non-Refoulement</w:t>
      </w:r>
    </w:p>
    <w:p>
      <w:pPr>
        <w:spacing w:after="120" w:before="0"/>
        <w:ind w:left="431"/>
        <w:jc w:val="both"/>
      </w:pPr>
      <w:r>
        <w:rPr>
          <w:rFonts w:ascii="Garamond" w:cs="Garamond" w:eastAsia="Garamond" w:hAnsi="Garamond"/>
          <w:color w:val="2a2520"/>
          <w:sz w:val="22"/>
          <w:szCs w:val="22"/>
        </w:rPr>
        <w:t xml:space="preserve">The absolute prohibition on returning any person to persecution — one of the six permanently unamendable provisions under §15.3.a. No exception for immigration status, mode of entry, or emergency declaration. The Republic cannot return, expel, or extradite any person to a territory where they face genuine risk of persecution, torture, or deprivation of life based on race, religion, nationality, political opinion, or group membership. This provision is the constitutional foundation of the asylum track in §6.4 — a person who files a §1.27 claim cannot be removed while it is pending.</w:t>
      </w:r>
    </w:p>
    <w:p>
      <w:pPr>
        <w:spacing w:after="60" w:before="200"/>
        <w:ind w:left="431"/>
      </w:pPr>
      <w:r>
        <w:rPr>
          <w:rFonts w:ascii="Courier New" w:cs="Courier New" w:eastAsia="Courier New" w:hAnsi="Courier New"/>
          <w:b/>
          <w:bCs/>
          <w:color w:val="1B2A4A"/>
          <w:sz w:val="18"/>
          <w:szCs w:val="18"/>
        </w:rPr>
        <w:t xml:space="preserve">§1.28  </w:t>
      </w:r>
      <w:r>
        <w:rPr>
          <w:rFonts w:ascii="Garamond" w:cs="Garamond" w:eastAsia="Garamond" w:hAnsi="Garamond"/>
          <w:b/>
          <w:bCs/>
          <w:color w:val="1B2A4A"/>
          <w:sz w:val="22"/>
          <w:szCs w:val="22"/>
        </w:rPr>
        <w:t xml:space="preserve">Medical Autonomy</w:t>
      </w:r>
    </w:p>
    <w:p>
      <w:pPr>
        <w:spacing w:after="120" w:before="0"/>
        <w:ind w:left="431"/>
        <w:jc w:val="both"/>
      </w:pPr>
      <w:r>
        <w:rPr>
          <w:rFonts w:ascii="Garamond" w:cs="Garamond" w:eastAsia="Garamond" w:hAnsi="Garamond"/>
          <w:color w:val="2a2520"/>
          <w:sz w:val="22"/>
          <w:szCs w:val="22"/>
        </w:rPr>
        <w:t xml:space="preserve">Medical decisions belong to the patient and their licensed provider — not to the State. The first paragraph establishes this as a constitutional principle: government cannot require or forbid specific treatments in the individual patient-provider relationship. The State's legitimate role is safety and standards: licensing, scope of practice, quality regulation. State governments may regulate which services licensed professionals offer within their jurisdiction — this is the provision that makes state-level restrictions on contested services constitutionally valid. The second paragraph closes extraterritorial reach on four independent grounds: the patient who receives care elsewhere is protected; the person who helps them travel or pay is protected; the provider at home who refers them or provides information is protected; the out-of-state provider who performed the care is protected. All four protections apply to care that was lawful where it was provided. A state may restrict services within its borders; it may not follow its citizens across those borders or reach across to punish those who served them.</w:t>
      </w:r>
    </w:p>
    <w:p>
      <w:pPr>
        <w:spacing w:after="60" w:before="200"/>
        <w:ind w:left="431"/>
      </w:pPr>
      <w:r>
        <w:rPr>
          <w:rFonts w:ascii="Courier New" w:cs="Courier New" w:eastAsia="Courier New" w:hAnsi="Courier New"/>
          <w:b/>
          <w:bCs/>
          <w:color w:val="1B2A4A"/>
          <w:sz w:val="18"/>
          <w:szCs w:val="18"/>
        </w:rPr>
        <w:t xml:space="preserve">§1.29  </w:t>
      </w:r>
      <w:r>
        <w:rPr>
          <w:rFonts w:ascii="Garamond" w:cs="Garamond" w:eastAsia="Garamond" w:hAnsi="Garamond"/>
          <w:b/>
          <w:bCs/>
          <w:color w:val="1B2A4A"/>
          <w:sz w:val="22"/>
          <w:szCs w:val="22"/>
        </w:rPr>
        <w:t xml:space="preserve">Right to Privacy</w:t>
      </w:r>
    </w:p>
    <w:p>
      <w:pPr>
        <w:spacing w:after="120" w:before="0"/>
        <w:ind w:left="431"/>
        <w:jc w:val="both"/>
      </w:pPr>
      <w:r>
        <w:rPr>
          <w:rFonts w:ascii="Garamond" w:cs="Garamond" w:eastAsia="Garamond" w:hAnsi="Garamond"/>
          <w:color w:val="2a2520"/>
          <w:sz w:val="22"/>
          <w:szCs w:val="22"/>
        </w:rPr>
        <w:t xml:space="preserve">The general right to privacy is the interpretive umbrella over all specific privacy protections in the constitution. A person has the right to privacy in their person, home, communications, associations, health, and personal data — the enumeration signals breadth, not limitation. The general right governs wherever no specific provision addresses the question. The government may abridge it only on a showing of specific, articulable necessity and only to the minimum extent that necessity requires. This formulation is narrower than a pure proportionality test — necessity must be specific and articulable, not merely proportionate to a general state interest. Associational privacy — the right to keep private who you associate with, distinct from freedom of association and from communications content — is pinned for future consideration; the general right provides a constitutional hook in the interim.</w:t>
      </w:r>
    </w:p>
    <w:p>
      <w:pPr>
        <w:spacing w:after="60" w:before="200"/>
        <w:ind w:left="863"/>
      </w:pPr>
      <w:r>
        <w:rPr>
          <w:rFonts w:ascii="Courier New" w:cs="Courier New" w:eastAsia="Courier New" w:hAnsi="Courier New"/>
          <w:b/>
          <w:bCs/>
          <w:color w:val="1B2A4A"/>
          <w:sz w:val="18"/>
          <w:szCs w:val="18"/>
        </w:rPr>
        <w:t xml:space="preserve">§1.29.a  </w:t>
      </w:r>
      <w:r>
        <w:rPr>
          <w:rFonts w:ascii="Garamond" w:cs="Garamond" w:eastAsia="Garamond" w:hAnsi="Garamond"/>
          <w:b/>
          <w:bCs/>
          <w:color w:val="1B2A4A"/>
          <w:sz w:val="22"/>
          <w:szCs w:val="22"/>
        </w:rPr>
        <w:t xml:space="preserve">Searches and Seizures</w:t>
      </w:r>
    </w:p>
    <w:p>
      <w:pPr>
        <w:spacing w:after="120" w:before="0"/>
        <w:ind w:left="863"/>
        <w:jc w:val="both"/>
      </w:pPr>
      <w:r>
        <w:rPr>
          <w:rFonts w:ascii="Garamond" w:cs="Garamond" w:eastAsia="Garamond" w:hAnsi="Garamond"/>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 This provision supplements §1.10.a's home and digital privacy warrant requirement; the more protective standard applies in any conflict. The consolidation under §1.29 gives these protections an explicit privacy grounding rather than a purely procedural one — the search and seizure prohibition is an expression of the right to privacy, not merely a limit on government procedure.</w:t>
      </w:r>
    </w:p>
    <w:p>
      <w:pPr>
        <w:spacing w:after="60" w:before="200"/>
        <w:ind w:left="863"/>
      </w:pPr>
      <w:r>
        <w:rPr>
          <w:rFonts w:ascii="Courier New" w:cs="Courier New" w:eastAsia="Courier New" w:hAnsi="Courier New"/>
          <w:b/>
          <w:bCs/>
          <w:color w:val="1B2A4A"/>
          <w:sz w:val="18"/>
          <w:szCs w:val="18"/>
        </w:rPr>
        <w:t xml:space="preserve">§1.29.b  </w:t>
      </w:r>
      <w:r>
        <w:rPr>
          <w:rFonts w:ascii="Garamond" w:cs="Garamond" w:eastAsia="Garamond" w:hAnsi="Garamond"/>
          <w:b/>
          <w:bCs/>
          <w:color w:val="1B2A4A"/>
          <w:sz w:val="22"/>
          <w:szCs w:val="22"/>
        </w:rPr>
        <w:t xml:space="preserve">Medical Privacy</w:t>
      </w:r>
    </w:p>
    <w:p>
      <w:pPr>
        <w:spacing w:after="120" w:before="0"/>
        <w:ind w:left="863"/>
        <w:jc w:val="both"/>
      </w:pPr>
      <w:r>
        <w:rPr>
          <w:rFonts w:ascii="Garamond" w:cs="Garamond" w:eastAsia="Garamond" w:hAnsi="Garamond"/>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 This provision is distinct from §1.28 Medical Autonomy — §1.28 protects the right to make medical decisions; §1.29.b protects the privacy of information about those decisions and about a person's health generally. Both apply independently. A government could theoretically comply with §1.28 while violating §1.29.b — respecting a treatment decision while disclosing the health information associated with it. The two provisions close different gaps.</w:t>
      </w:r>
    </w:p>
    <w:p>
      <w:pPr>
        <w:spacing w:after="60" w:before="200"/>
        <w:ind w:left="863"/>
      </w:pPr>
      <w:r>
        <w:rPr>
          <w:rFonts w:ascii="Courier New" w:cs="Courier New" w:eastAsia="Courier New" w:hAnsi="Courier New"/>
          <w:b/>
          <w:bCs/>
          <w:color w:val="1B2A4A"/>
          <w:sz w:val="18"/>
          <w:szCs w:val="18"/>
        </w:rPr>
        <w:t xml:space="preserve">§1.29.c  </w:t>
      </w:r>
      <w:r>
        <w:rPr>
          <w:rFonts w:ascii="Garamond" w:cs="Garamond" w:eastAsia="Garamond" w:hAnsi="Garamond"/>
          <w:b/>
          <w:bCs/>
          <w:color w:val="1B2A4A"/>
          <w:sz w:val="22"/>
          <w:szCs w:val="22"/>
        </w:rPr>
        <w:t xml:space="preserve">Communications and Data</w:t>
      </w:r>
    </w:p>
    <w:p>
      <w:pPr>
        <w:spacing w:after="120" w:before="0"/>
        <w:ind w:left="863"/>
        <w:jc w:val="both"/>
      </w:pPr>
      <w:r>
        <w:rPr>
          <w:rFonts w:ascii="Garamond" w:cs="Garamond" w:eastAsia="Garamond" w:hAnsi="Garamond"/>
          <w:color w:val="2a2520"/>
          <w:sz w:val="22"/>
          <w:szCs w:val="22"/>
        </w:rPr>
        <w:t xml:space="preserve">Government collection of private communications or personal data requires specific judicial authorization identifying the person, the data sought, and the collection period. Bulk collection — without individual identification — is prohibited outright. Private-sector entities cannot be compelled to collect or disclose on government's behalf beyond what independent judicial authorization would permit; this closes the "compelled intermediary" gap where governments use private companies as collection proxies. The Legislature may establish data minimization and retention limits for government-held data. This provision gives the constitution a forward-facing hook for technologies that didn't exist at drafting — whatever form data collection takes, the judicial authorization requirement applies.</w:t>
      </w:r>
    </w:p>
    <w:p>
      <w:pPr>
        <w:spacing w:after="60" w:before="200"/>
        <w:ind w:left="863"/>
      </w:pPr>
      <w:r>
        <w:rPr>
          <w:rFonts w:ascii="Courier New" w:cs="Courier New" w:eastAsia="Courier New" w:hAnsi="Courier New"/>
          <w:b/>
          <w:bCs/>
          <w:color w:val="1B2A4A"/>
          <w:sz w:val="18"/>
          <w:szCs w:val="18"/>
        </w:rPr>
        <w:t xml:space="preserve">§1.29.d  </w:t>
      </w:r>
      <w:r>
        <w:rPr>
          <w:rFonts w:ascii="Garamond" w:cs="Garamond" w:eastAsia="Garamond" w:hAnsi="Garamond"/>
          <w:b/>
          <w:bCs/>
          <w:color w:val="1B2A4A"/>
          <w:sz w:val="22"/>
          <w:szCs w:val="22"/>
        </w:rPr>
        <w:t xml:space="preserve">Intelligence Firewall</w:t>
      </w:r>
    </w:p>
    <w:p>
      <w:pPr>
        <w:spacing w:after="120" w:before="0"/>
        <w:ind w:left="863"/>
        <w:jc w:val="both"/>
      </w:pPr>
      <w:r>
        <w:rPr>
          <w:rFonts w:ascii="Garamond" w:cs="Garamond" w:eastAsia="Garamond" w:hAnsi="Garamond"/>
          <w:color w:val="2a2520"/>
          <w:sz w:val="22"/>
          <w:szCs w:val="22"/>
        </w:rPr>
        <w:t xml:space="preserve">Migrated from §12.3 with language unchanged. All domestic intelligence operations against Republic citizens are permanently prohibited and constitutionally void. Any such order is reported to the NRS by the EI. This prohibition is non-derogable — no emergency, treaty, or statute can suspend it. Placed in Article I rather than Article XII because it is a rights provision, not merely a structural one: §12.3 approached it as an institutional constraint on the intelligence apparatus; §1.29.d grounds it as a right of every person in the Republic. The non-derogable character means it cannot be balanced against the general privacy right's necessity standard — necessity, however compelling, does not justify domestic intelligence operations. This provision goes further than any of the other §1.29 sub-provisions: §1.29.a through §1.29.c can be overridden by specific judicial authorization; §1.29.d cannot be overridden at all.</w:t>
      </w:r>
    </w:p>
    <w:p>
      <w:pPr>
        <w:spacing w:after="60" w:before="200"/>
        <w:ind w:left="863"/>
      </w:pPr>
      <w:r>
        <w:rPr>
          <w:rFonts w:ascii="Courier New" w:cs="Courier New" w:eastAsia="Courier New" w:hAnsi="Courier New"/>
          <w:b/>
          <w:bCs/>
          <w:color w:val="1B2A4A"/>
          <w:sz w:val="18"/>
          <w:szCs w:val="18"/>
        </w:rPr>
        <w:t xml:space="preserve">§1.29.e  </w:t>
      </w:r>
      <w:r>
        <w:rPr>
          <w:rFonts w:ascii="Garamond" w:cs="Garamond" w:eastAsia="Garamond" w:hAnsi="Garamond"/>
          <w:b/>
          <w:bCs/>
          <w:color w:val="1B2A4A"/>
          <w:sz w:val="22"/>
          <w:szCs w:val="22"/>
        </w:rPr>
        <w:t xml:space="preserve">Associational Privacy</w:t>
      </w:r>
    </w:p>
    <w:p>
      <w:pPr>
        <w:spacing w:after="120" w:before="0"/>
        <w:ind w:left="863"/>
        <w:jc w:val="both"/>
      </w:pPr>
      <w:r>
        <w:rPr>
          <w:rFonts w:ascii="Garamond" w:cs="Garamond" w:eastAsia="Garamond" w:hAnsi="Garamond"/>
          <w:color w:val="2a2520"/>
          <w:sz w:val="22"/>
          <w:szCs w:val="22"/>
        </w:rPr>
        <w:t xml:space="preserve">The explicit provision that closes the gap between freedom of association (§1.6) and privacy in associations. §1.6 protects the right to associate; §1.29.e protects the right to keep private who you associate with and the fact that you do. A government can comply with §1.6 while violating §1.29.e — it can refrain from prohibiting membership while systematically mapping it. The NAACP v. Alabama problem: compelling a membership list doesn't stop anyone from associating, but it destroys the practical value of the protection. Government mapping of associations — who a person knows, meets, communicates with, or joins — requires the same specific judicial authorization as communications collection under §1.29.c. Bulk mapping is prohibited on the same terms as bulk collection. The general right in §1.29 listed "associations" but didn't specify this protection explicitly; §1.29.e closes that interpretive gap.</w:t>
      </w:r>
    </w:p>
    <w:p>
      <w:pPr>
        <w:spacing w:after="60" w:before="200"/>
        <w:ind w:left="431"/>
      </w:pPr>
      <w:r>
        <w:rPr>
          <w:rFonts w:ascii="Courier New" w:cs="Courier New" w:eastAsia="Courier New" w:hAnsi="Courier New"/>
          <w:b/>
          <w:bCs/>
          <w:color w:val="1B2A4A"/>
          <w:sz w:val="18"/>
          <w:szCs w:val="18"/>
        </w:rPr>
        <w:t xml:space="preserve">§1.3  </w:t>
      </w:r>
      <w:r>
        <w:rPr>
          <w:rFonts w:ascii="Garamond" w:cs="Garamond" w:eastAsia="Garamond" w:hAnsi="Garamond"/>
          <w:b/>
          <w:bCs/>
          <w:color w:val="1B2A4A"/>
          <w:sz w:val="22"/>
          <w:szCs w:val="22"/>
        </w:rPr>
        <w:t xml:space="preserve">Prohibition of Slavery and Forced Labor</w:t>
      </w:r>
    </w:p>
    <w:p>
      <w:pPr>
        <w:spacing w:after="120" w:before="0"/>
        <w:ind w:left="431"/>
        <w:jc w:val="both"/>
      </w:pPr>
      <w:r>
        <w:rPr>
          <w:rFonts w:ascii="Garamond" w:cs="Garamond" w:eastAsia="Garamond" w:hAnsi="Garamond"/>
          <w:color w:val="2a2520"/>
          <w:sz w:val="22"/>
          <w:szCs w:val="22"/>
        </w:rPr>
        <w:t xml:space="preserve">Slavery, forced labor, debt bondage, and compelled service are prohibited absolutely and in all forms. This provision is permanently unamendable (§15.3.a) — no future majority can restore any form of servitude through constitutional amendment, even a unanimous one. The unamendable status reflects the drafters' conclusion that some prohibitions define the minimum conditions of human dignity that democratic government exists to protect. A democracy that permits slavery has abolished the premise on which democratic legitimacy rests. The prohibition extends to all persons within the Republic's jurisdiction, not merely to citizens.</w:t>
      </w:r>
    </w:p>
    <w:p>
      <w:pPr>
        <w:spacing w:after="60" w:before="200"/>
        <w:ind w:left="431"/>
      </w:pPr>
      <w:r>
        <w:rPr>
          <w:rFonts w:ascii="Courier New" w:cs="Courier New" w:eastAsia="Courier New" w:hAnsi="Courier New"/>
          <w:b/>
          <w:bCs/>
          <w:color w:val="1B2A4A"/>
          <w:sz w:val="18"/>
          <w:szCs w:val="18"/>
        </w:rPr>
        <w:t xml:space="preserve">§1.4  </w:t>
      </w:r>
      <w:r>
        <w:rPr>
          <w:rFonts w:ascii="Garamond" w:cs="Garamond" w:eastAsia="Garamond" w:hAnsi="Garamond"/>
          <w:b/>
          <w:bCs/>
          <w:color w:val="1B2A4A"/>
          <w:sz w:val="22"/>
          <w:szCs w:val="22"/>
        </w:rPr>
        <w:t xml:space="preserve">Freedom of Expression</w:t>
      </w:r>
    </w:p>
    <w:p>
      <w:pPr>
        <w:spacing w:after="120" w:before="0"/>
        <w:ind w:left="431"/>
        <w:jc w:val="both"/>
      </w:pPr>
      <w:r>
        <w:rPr>
          <w:rFonts w:ascii="Garamond" w:cs="Garamond" w:eastAsia="Garamond" w:hAnsi="Garamond"/>
          <w:color w:val="2a2520"/>
          <w:sz w:val="22"/>
          <w:szCs w:val="22"/>
        </w:rPr>
        <w:t xml:space="preserve">No branch, agency, official, or instrumentality of the Republic or any State may abridge the freedom of speech, press, or assembly in any medium — physical or digital. §1.4.a prohibits censorship by proxy (government coercion of private entities to suppress speech); §1.4.b establishes separation of church and state and prohibits religious establishment by law.</w:t>
      </w:r>
    </w:p>
    <w:p>
      <w:pPr>
        <w:spacing w:after="60" w:before="200"/>
        <w:ind w:left="863"/>
      </w:pPr>
      <w:r>
        <w:rPr>
          <w:rFonts w:ascii="Courier New" w:cs="Courier New" w:eastAsia="Courier New" w:hAnsi="Courier New"/>
          <w:b/>
          <w:bCs/>
          <w:color w:val="1B2A4A"/>
          <w:sz w:val="18"/>
          <w:szCs w:val="18"/>
        </w:rPr>
        <w:t xml:space="preserve">§1.4.a  </w:t>
      </w:r>
      <w:r>
        <w:rPr>
          <w:rFonts w:ascii="Garamond" w:cs="Garamond" w:eastAsia="Garamond" w:hAnsi="Garamond"/>
          <w:b/>
          <w:bCs/>
          <w:color w:val="1B2A4A"/>
          <w:sz w:val="22"/>
          <w:szCs w:val="22"/>
        </w:rPr>
        <w:t xml:space="preserve">Censorship by Proxy</w:t>
      </w:r>
    </w:p>
    <w:p>
      <w:pPr>
        <w:spacing w:after="120" w:before="0"/>
        <w:ind w:left="863"/>
        <w:jc w:val="both"/>
      </w:pPr>
      <w:r>
        <w:rPr>
          <w:rFonts w:ascii="Garamond" w:cs="Garamond" w:eastAsia="Garamond" w:hAnsi="Garamond"/>
          <w:color w:val="2a2520"/>
          <w:sz w:val="22"/>
          <w:szCs w:val="22"/>
        </w:rPr>
        <w:t xml:space="preserve">The most operationally significant speech protection. Governments that cannot censor directly regularly achieve the same result by threatening, incentivizing, or coercing private platforms and institutions to suppress speech on their behalf. This provision closes that route: a government agent who pressures a private entity to remove speech commits the same constitutional violation as direct censorship — the proxy does not launder the act. The provision applies equally to digital and physical media. It also prohibits viewpoint-based conditions on government benefits, contracts, or licensing.</w:t>
      </w:r>
    </w:p>
    <w:p>
      <w:pPr>
        <w:spacing w:after="60" w:before="200"/>
        <w:ind w:left="863"/>
      </w:pPr>
      <w:r>
        <w:rPr>
          <w:rFonts w:ascii="Courier New" w:cs="Courier New" w:eastAsia="Courier New" w:hAnsi="Courier New"/>
          <w:b/>
          <w:bCs/>
          <w:color w:val="1B2A4A"/>
          <w:sz w:val="18"/>
          <w:szCs w:val="18"/>
        </w:rPr>
        <w:t xml:space="preserve">§1.4.b  </w:t>
      </w:r>
      <w:r>
        <w:rPr>
          <w:rFonts w:ascii="Garamond" w:cs="Garamond" w:eastAsia="Garamond" w:hAnsi="Garamond"/>
          <w:b/>
          <w:bCs/>
          <w:color w:val="1B2A4A"/>
          <w:sz w:val="22"/>
          <w:szCs w:val="22"/>
        </w:rPr>
        <w:t xml:space="preserve">Separation of Church and State</w:t>
      </w:r>
    </w:p>
    <w:p>
      <w:pPr>
        <w:spacing w:after="120" w:before="0"/>
        <w:ind w:left="863"/>
        <w:jc w:val="both"/>
      </w:pPr>
      <w:r>
        <w:rPr>
          <w:rFonts w:ascii="Garamond" w:cs="Garamond" w:eastAsia="Garamond" w:hAnsi="Garamond"/>
          <w:color w:val="2a2520"/>
          <w:sz w:val="22"/>
          <w:szCs w:val="22"/>
        </w:rPr>
        <w:t xml:space="preserve">No religion may be established by law, and public funds directed to religious organizations must comply with the equality requirements of §1.8. The separation of church and state is structural, not merely preferential.</w:t>
      </w:r>
    </w:p>
    <w:p>
      <w:pPr>
        <w:spacing w:after="60" w:before="200"/>
        <w:ind w:left="431"/>
      </w:pPr>
      <w:r>
        <w:rPr>
          <w:rFonts w:ascii="Courier New" w:cs="Courier New" w:eastAsia="Courier New" w:hAnsi="Courier New"/>
          <w:b/>
          <w:bCs/>
          <w:color w:val="1B2A4A"/>
          <w:sz w:val="18"/>
          <w:szCs w:val="18"/>
        </w:rPr>
        <w:t xml:space="preserve">§1.5  </w:t>
      </w:r>
      <w:r>
        <w:rPr>
          <w:rFonts w:ascii="Garamond" w:cs="Garamond" w:eastAsia="Garamond" w:hAnsi="Garamond"/>
          <w:b/>
          <w:bCs/>
          <w:color w:val="1B2A4A"/>
          <w:sz w:val="22"/>
          <w:szCs w:val="22"/>
        </w:rPr>
        <w:t xml:space="preserve">Freedom of Thought, Conscience, and Religion</w:t>
      </w:r>
    </w:p>
    <w:p>
      <w:pPr>
        <w:spacing w:after="120" w:before="0"/>
        <w:ind w:left="431"/>
        <w:jc w:val="both"/>
      </w:pPr>
      <w:r>
        <w:rPr>
          <w:rFonts w:ascii="Garamond" w:cs="Garamond" w:eastAsia="Garamond" w:hAnsi="Garamond"/>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pPr>
      <w:r>
        <w:rPr>
          <w:rFonts w:ascii="Courier New" w:cs="Courier New" w:eastAsia="Courier New" w:hAnsi="Courier New"/>
          <w:b/>
          <w:bCs/>
          <w:color w:val="1B2A4A"/>
          <w:sz w:val="18"/>
          <w:szCs w:val="18"/>
        </w:rPr>
        <w:t xml:space="preserve">§1.6  </w:t>
      </w:r>
      <w:r>
        <w:rPr>
          <w:rFonts w:ascii="Garamond" w:cs="Garamond" w:eastAsia="Garamond" w:hAnsi="Garamond"/>
          <w:b/>
          <w:bCs/>
          <w:color w:val="1B2A4A"/>
          <w:sz w:val="22"/>
          <w:szCs w:val="22"/>
        </w:rPr>
        <w:t xml:space="preserve">Freedom of Association</w:t>
      </w:r>
    </w:p>
    <w:p>
      <w:pPr>
        <w:spacing w:after="120" w:before="0"/>
        <w:ind w:left="431"/>
        <w:jc w:val="both"/>
      </w:pPr>
      <w:r>
        <w:rPr>
          <w:rFonts w:ascii="Garamond" w:cs="Garamond" w:eastAsia="Garamond" w:hAnsi="Garamond"/>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pPr>
      <w:r>
        <w:rPr>
          <w:rFonts w:ascii="Courier New" w:cs="Courier New" w:eastAsia="Courier New" w:hAnsi="Courier New"/>
          <w:b/>
          <w:bCs/>
          <w:color w:val="1B2A4A"/>
          <w:sz w:val="18"/>
          <w:szCs w:val="18"/>
        </w:rPr>
        <w:t xml:space="preserve">§1.7  </w:t>
      </w:r>
      <w:r>
        <w:rPr>
          <w:rFonts w:ascii="Garamond" w:cs="Garamond" w:eastAsia="Garamond" w:hAnsi="Garamond"/>
          <w:b/>
          <w:bCs/>
          <w:color w:val="1B2A4A"/>
          <w:sz w:val="22"/>
          <w:szCs w:val="22"/>
        </w:rPr>
        <w:t xml:space="preserve">Right to Petition</w:t>
      </w:r>
    </w:p>
    <w:p>
      <w:pPr>
        <w:spacing w:after="120" w:before="0"/>
        <w:ind w:left="431"/>
        <w:jc w:val="both"/>
      </w:pPr>
      <w:r>
        <w:rPr>
          <w:rFonts w:ascii="Garamond" w:cs="Garamond" w:eastAsia="Garamond" w:hAnsi="Garamond"/>
          <w:color w:val="2a2520"/>
          <w:sz w:val="22"/>
          <w:szCs w:val="22"/>
        </w:rPr>
        <w:t xml:space="preserve">Every citizen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pPr>
      <w:r>
        <w:rPr>
          <w:rFonts w:ascii="Courier New" w:cs="Courier New" w:eastAsia="Courier New" w:hAnsi="Courier New"/>
          <w:b/>
          <w:bCs/>
          <w:color w:val="1B2A4A"/>
          <w:sz w:val="18"/>
          <w:szCs w:val="18"/>
        </w:rPr>
        <w:t xml:space="preserve">§1.8  </w:t>
      </w:r>
      <w:r>
        <w:rPr>
          <w:rFonts w:ascii="Garamond" w:cs="Garamond" w:eastAsia="Garamond" w:hAnsi="Garamond"/>
          <w:b/>
          <w:bCs/>
          <w:color w:val="1B2A4A"/>
          <w:sz w:val="22"/>
          <w:szCs w:val="22"/>
        </w:rPr>
        <w:t xml:space="preserve">Equality and Non-Discrimination</w:t>
      </w:r>
    </w:p>
    <w:p>
      <w:pPr>
        <w:spacing w:after="120" w:before="0"/>
        <w:ind w:left="431"/>
        <w:jc w:val="both"/>
      </w:pPr>
      <w:r>
        <w:rPr>
          <w:rFonts w:ascii="Garamond" w:cs="Garamond" w:eastAsia="Garamond" w:hAnsi="Garamond"/>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 — the means-testing carve-out in this section is the primary application of this lower standard</w:t>
      </w:r>
    </w:p>
    <w:p>
      <w:pPr>
        <w:spacing w:after="60" w:before="200"/>
        <w:ind w:left="431"/>
      </w:pPr>
      <w:r>
        <w:rPr>
          <w:rFonts w:ascii="Courier New" w:cs="Courier New" w:eastAsia="Courier New" w:hAnsi="Courier New"/>
          <w:b/>
          <w:bCs/>
          <w:color w:val="1B2A4A"/>
          <w:sz w:val="18"/>
          <w:szCs w:val="18"/>
        </w:rPr>
        <w:t xml:space="preserve">§1.9  </w:t>
      </w:r>
      <w:r>
        <w:rPr>
          <w:rFonts w:ascii="Garamond" w:cs="Garamond" w:eastAsia="Garamond" w:hAnsi="Garamond"/>
          <w:b/>
          <w:bCs/>
          <w:color w:val="1B2A4A"/>
          <w:sz w:val="22"/>
          <w:szCs w:val="22"/>
        </w:rPr>
        <w:t xml:space="preserve">Bodily Autonomy and Digital Privacy</w:t>
      </w:r>
    </w:p>
    <w:p>
      <w:pPr>
        <w:spacing w:after="120" w:before="0"/>
        <w:ind w:left="431"/>
        <w:jc w:val="both"/>
      </w:pPr>
      <w:r>
        <w:rPr>
          <w:rFonts w:ascii="Garamond" w:cs="Garamond" w:eastAsia="Garamond" w:hAnsi="Garamond"/>
          <w:color w:val="2a2520"/>
          <w:sz w:val="22"/>
          <w:szCs w:val="22"/>
        </w:rPr>
        <w:t xml:space="preserve">Three protections: §1.9.a — absolute right to refuse any medical procedure or biological sampling; no mandate is permissible under any emergency without uncoerced revocable written consent. §1.9.b — individuals own their personal data, likeness, and biometric information; government data collection is subject to strict necessity limits and may not build behavioral profiles. §1.9.c — cryptographic keys are private property; no court or agency may compel their disclosure.</w:t>
      </w:r>
    </w:p>
    <w:p>
      <w:pPr>
        <w:spacing w:after="60" w:before="200"/>
        <w:ind w:left="863"/>
      </w:pPr>
      <w:r>
        <w:rPr>
          <w:rFonts w:ascii="Courier New" w:cs="Courier New" w:eastAsia="Courier New" w:hAnsi="Courier New"/>
          <w:b/>
          <w:bCs/>
          <w:color w:val="1B2A4A"/>
          <w:sz w:val="18"/>
          <w:szCs w:val="18"/>
        </w:rPr>
        <w:t xml:space="preserve">§1.9.a  </w:t>
      </w:r>
      <w:r>
        <w:rPr>
          <w:rFonts w:ascii="Garamond" w:cs="Garamond" w:eastAsia="Garamond" w:hAnsi="Garamond"/>
          <w:b/>
          <w:bCs/>
          <w:color w:val="1B2A4A"/>
          <w:sz w:val="22"/>
          <w:szCs w:val="22"/>
        </w:rPr>
        <w:t xml:space="preserve">Physical Sovereignty</w:t>
      </w:r>
    </w:p>
    <w:p>
      <w:pPr>
        <w:spacing w:after="120" w:before="0"/>
        <w:ind w:left="863"/>
        <w:jc w:val="both"/>
      </w:pPr>
      <w:r>
        <w:rPr>
          <w:rFonts w:ascii="Garamond" w:cs="Garamond" w:eastAsia="Garamond" w:hAnsi="Garamond"/>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863"/>
      </w:pPr>
      <w:r>
        <w:rPr>
          <w:rFonts w:ascii="Courier New" w:cs="Courier New" w:eastAsia="Courier New" w:hAnsi="Courier New"/>
          <w:b/>
          <w:bCs/>
          <w:color w:val="1B2A4A"/>
          <w:sz w:val="18"/>
          <w:szCs w:val="18"/>
        </w:rPr>
        <w:t xml:space="preserve">§1.9.b  </w:t>
      </w:r>
      <w:r>
        <w:rPr>
          <w:rFonts w:ascii="Garamond" w:cs="Garamond" w:eastAsia="Garamond" w:hAnsi="Garamond"/>
          <w:b/>
          <w:bCs/>
          <w:color w:val="1B2A4A"/>
          <w:sz w:val="22"/>
          <w:szCs w:val="22"/>
        </w:rPr>
        <w:t xml:space="preserve">Data Ownership</w:t>
      </w:r>
    </w:p>
    <w:p>
      <w:pPr>
        <w:spacing w:after="120" w:before="0"/>
        <w:ind w:left="863"/>
        <w:jc w:val="both"/>
      </w:pPr>
      <w:r>
        <w:rPr>
          <w:rFonts w:ascii="Garamond" w:cs="Garamond" w:eastAsia="Garamond" w:hAnsi="Garamond"/>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863"/>
      </w:pPr>
      <w:r>
        <w:rPr>
          <w:rFonts w:ascii="Courier New" w:cs="Courier New" w:eastAsia="Courier New" w:hAnsi="Courier New"/>
          <w:b/>
          <w:bCs/>
          <w:color w:val="1B2A4A"/>
          <w:sz w:val="18"/>
          <w:szCs w:val="18"/>
        </w:rPr>
        <w:t xml:space="preserve">§1.9.c  </w:t>
      </w:r>
      <w:r>
        <w:rPr>
          <w:rFonts w:ascii="Garamond" w:cs="Garamond" w:eastAsia="Garamond" w:hAnsi="Garamond"/>
          <w:b/>
          <w:bCs/>
          <w:color w:val="1B2A4A"/>
          <w:sz w:val="22"/>
          <w:szCs w:val="22"/>
        </w:rPr>
        <w:t xml:space="preserve">Encryption Protection</w:t>
      </w:r>
    </w:p>
    <w:p>
      <w:pPr>
        <w:spacing w:after="120" w:before="0"/>
        <w:ind w:left="863"/>
        <w:jc w:val="both"/>
      </w:pPr>
      <w:r>
        <w:rPr>
          <w:rFonts w:ascii="Garamond" w:cs="Garamond" w:eastAsia="Garamond" w:hAnsi="Garamond"/>
          <w:color w:val="2a2520"/>
          <w:sz w:val="22"/>
          <w:szCs w:val="22"/>
        </w:rPr>
        <w:t xml:space="preserve">Cryptographic keys are private property. No court or agency may compel their disclosure. Absolute rule, consistent with §1.16's self-incrimination prohibition — closes the digital search-and-seizure loophole present in most existing constitutions.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 — The Basic Needs Floor</w:t>
      </w:r>
    </w:p>
    <w:p>
      <w:pPr>
        <w:spacing w:after="120"/>
      </w:pPr>
    </w:p>
    <w:p>
      <w:pPr>
        <w:spacing w:after="60" w:before="200"/>
        <w:ind w:left="431"/>
      </w:pPr>
      <w:r>
        <w:rPr>
          <w:rFonts w:ascii="Courier New" w:cs="Courier New" w:eastAsia="Courier New" w:hAnsi="Courier New"/>
          <w:b/>
          <w:bCs/>
          <w:color w:val="1B2A4A"/>
          <w:sz w:val="18"/>
          <w:szCs w:val="18"/>
        </w:rPr>
        <w:t xml:space="preserve">§10.1  </w:t>
      </w:r>
      <w:r>
        <w:rPr>
          <w:rFonts w:ascii="Garamond" w:cs="Garamond" w:eastAsia="Garamond" w:hAnsi="Garamond"/>
          <w:b/>
          <w:bCs/>
          <w:color w:val="1B2A4A"/>
          <w:sz w:val="22"/>
          <w:szCs w:val="22"/>
        </w:rPr>
        <w:t xml:space="preserve">The Basic Needs Floor</w:t>
      </w:r>
    </w:p>
    <w:p>
      <w:pPr>
        <w:spacing w:after="120" w:before="0"/>
        <w:ind w:left="431"/>
        <w:jc w:val="both"/>
      </w:pPr>
      <w:r>
        <w:rPr>
          <w:rFonts w:ascii="Garamond" w:cs="Garamond" w:eastAsia="Garamond" w:hAnsi="Garamond"/>
          <w:color w:val="2a2520"/>
          <w:sz w:val="22"/>
          <w:szCs w:val="22"/>
        </w:rPr>
        <w:t xml:space="preserve">The Basic Needs Floor — a constitutional guarantee that the federal government will ensure every Inhabitant has access to a minimum basket of goods and services (food, housing, healthcare, education, and utilities) at a level adequate for a dignified life. Funded by a constitutionally reserved 5% of gross domestic revenue — this percentage cannot be reduced without a constitutional amendment.</w:t>
      </w:r>
    </w:p>
    <w:p>
      <w:pPr>
        <w:spacing w:after="60" w:before="200"/>
        <w:ind w:left="863"/>
      </w:pPr>
      <w:r>
        <w:rPr>
          <w:rFonts w:ascii="Courier New" w:cs="Courier New" w:eastAsia="Courier New" w:hAnsi="Courier New"/>
          <w:b/>
          <w:bCs/>
          <w:color w:val="1B2A4A"/>
          <w:sz w:val="18"/>
          <w:szCs w:val="18"/>
        </w:rPr>
        <w:t xml:space="preserve">§10.1.a  </w:t>
      </w:r>
      <w:r>
        <w:rPr>
          <w:rFonts w:ascii="Garamond" w:cs="Garamond" w:eastAsia="Garamond" w:hAnsi="Garamond"/>
          <w:b/>
          <w:bCs/>
          <w:color w:val="1B2A4A"/>
          <w:sz w:val="22"/>
          <w:szCs w:val="22"/>
        </w:rPr>
        <w:t xml:space="preserve">Anti-Evasion Principle</w:t>
      </w:r>
    </w:p>
    <w:p>
      <w:pPr>
        <w:spacing w:after="120" w:before="0"/>
        <w:ind w:left="863"/>
        <w:jc w:val="both"/>
      </w:pPr>
      <w:r>
        <w:rPr>
          <w:rFonts w:ascii="Garamond" w:cs="Garamond" w:eastAsia="Garamond" w:hAnsi="Garamond"/>
          <w:color w:val="2a2520"/>
          <w:sz w:val="22"/>
          <w:szCs w:val="22"/>
        </w:rPr>
        <w:t xml:space="preserve">BNF Funding Reserve — 5% of gross domestic revenue is constitutionally reserved for the BNF and cannot be redirected. If the BNF requires more than 5%, the Legislature may appropriate additional funding by statute. The reserve is calculated annually by the MA and published to the NRS. During a Severe Revenue Contraction (§10.1.f), the National Endowment backstops the BNF.</w:t>
      </w:r>
    </w:p>
    <w:p>
      <w:pPr>
        <w:spacing w:after="60" w:before="200"/>
        <w:ind w:left="863"/>
      </w:pPr>
      <w:r>
        <w:rPr>
          <w:rFonts w:ascii="Courier New" w:cs="Courier New" w:eastAsia="Courier New" w:hAnsi="Courier New"/>
          <w:b/>
          <w:bCs/>
          <w:color w:val="1B2A4A"/>
          <w:sz w:val="18"/>
          <w:szCs w:val="18"/>
        </w:rPr>
        <w:t xml:space="preserve">§10.1.d  </w:t>
      </w:r>
      <w:r>
        <w:rPr>
          <w:rFonts w:ascii="Garamond" w:cs="Garamond" w:eastAsia="Garamond" w:hAnsi="Garamond"/>
          <w:b/>
          <w:bCs/>
          <w:color w:val="1B2A4A"/>
          <w:sz w:val="22"/>
          <w:szCs w:val="22"/>
        </w:rPr>
        <w:t xml:space="preserve">Severe Contraction Protocol — Activation</w:t>
      </w:r>
    </w:p>
    <w:p>
      <w:pPr>
        <w:spacing w:after="120" w:before="0"/>
        <w:ind w:left="863"/>
        <w:jc w:val="both"/>
      </w:pPr>
      <w:r>
        <w:rPr>
          <w:rFonts w:ascii="Garamond" w:cs="Garamond" w:eastAsia="Garamond" w:hAnsi="Garamond"/>
          <w:color w:val="2a2520"/>
          <w:sz w:val="22"/>
          <w:szCs w:val="22"/>
        </w:rPr>
        <w:t xml:space="preserve">BNF Non-Discrimination — access to BNF benefits may not be conditioned on citizenship, residency status, political affiliation, or any characteristic protected under §1.8. Every Inhabitant receives equal access. The Legislature may not create tiered access based on contribution history or prior benefit receipt — the BNF is a floor, not an insurance program.</w:t>
      </w:r>
    </w:p>
    <w:p>
      <w:pPr>
        <w:spacing w:after="60" w:before="200"/>
        <w:ind w:left="863"/>
      </w:pPr>
      <w:r>
        <w:rPr>
          <w:rFonts w:ascii="Courier New" w:cs="Courier New" w:eastAsia="Courier New" w:hAnsi="Courier New"/>
          <w:b/>
          <w:bCs/>
          <w:color w:val="1B2A4A"/>
          <w:sz w:val="18"/>
          <w:szCs w:val="18"/>
        </w:rPr>
        <w:t xml:space="preserve">§10.1.e  </w:t>
      </w:r>
      <w:r>
        <w:rPr>
          <w:rFonts w:ascii="Garamond" w:cs="Garamond" w:eastAsia="Garamond" w:hAnsi="Garamond"/>
          <w:b/>
          <w:bCs/>
          <w:color w:val="1B2A4A"/>
          <w:sz w:val="22"/>
          <w:szCs w:val="22"/>
        </w:rPr>
        <w:t xml:space="preserve">Severe Contraction Protocol — Effects</w:t>
      </w:r>
    </w:p>
    <w:p>
      <w:pPr>
        <w:spacing w:after="120" w:before="0"/>
        <w:ind w:left="863"/>
        <w:jc w:val="both"/>
      </w:pPr>
      <w:r>
        <w:rPr>
          <w:rFonts w:ascii="Garamond" w:cs="Garamond" w:eastAsia="Garamond" w:hAnsi="Garamond"/>
          <w:color w:val="2a2520"/>
          <w:sz w:val="22"/>
          <w:szCs w:val="22"/>
        </w:rPr>
        <w:t xml:space="preserve">BNF Administration — the PM administers the BNF through the Domestic Affairs Council. Administration must meet the constitutional adequacy standard — delivery mechanisms must actually reach Inhabitants, not merely be nominally available. The LI audits BNF delivery annually.</w:t>
      </w:r>
    </w:p>
    <w:p>
      <w:pPr>
        <w:spacing w:after="60" w:before="200"/>
        <w:ind w:left="863"/>
      </w:pPr>
      <w:r>
        <w:rPr>
          <w:rFonts w:ascii="Courier New" w:cs="Courier New" w:eastAsia="Courier New" w:hAnsi="Courier New"/>
          <w:b/>
          <w:bCs/>
          <w:color w:val="1B2A4A"/>
          <w:sz w:val="18"/>
          <w:szCs w:val="18"/>
        </w:rPr>
        <w:t xml:space="preserve">§10.1.f  </w:t>
      </w:r>
      <w:r>
        <w:rPr>
          <w:rFonts w:ascii="Garamond" w:cs="Garamond" w:eastAsia="Garamond" w:hAnsi="Garamond"/>
          <w:b/>
          <w:bCs/>
          <w:color w:val="1B2A4A"/>
          <w:sz w:val="22"/>
          <w:szCs w:val="22"/>
        </w:rPr>
        <w:t xml:space="preserve">Severe Contraction Protocol — Parliamentary Review</w:t>
      </w:r>
    </w:p>
    <w:p>
      <w:pPr>
        <w:spacing w:after="120" w:before="0"/>
        <w:ind w:left="863"/>
        <w:jc w:val="both"/>
      </w:pPr>
      <w:r>
        <w:rPr>
          <w:rFonts w:ascii="Garamond" w:cs="Garamond" w:eastAsia="Garamond" w:hAnsi="Garamond"/>
          <w:color w:val="2a2520"/>
          <w:sz w:val="22"/>
          <w:szCs w:val="22"/>
        </w:rPr>
        <w:t xml:space="preserve">Severe Revenue Contraction — where the MA certifies a severe revenue contraction, the BNF funding floor remains in effect and the National Endowment reserve fund supplements the 5% reserve to ensure BNF continuity. The MA certification triggers automatic activation of the Endowment — no legislative action required. The BNF is recession-proof.</w:t>
      </w:r>
    </w:p>
    <w:p>
      <w:pPr>
        <w:spacing w:after="60" w:before="200"/>
        <w:ind w:left="863"/>
      </w:pPr>
      <w:r>
        <w:rPr>
          <w:rFonts w:ascii="Courier New" w:cs="Courier New" w:eastAsia="Courier New" w:hAnsi="Courier New"/>
          <w:b/>
          <w:bCs/>
          <w:color w:val="1B2A4A"/>
          <w:sz w:val="18"/>
          <w:szCs w:val="18"/>
        </w:rPr>
        <w:t xml:space="preserve">§10.1.g  </w:t>
      </w:r>
      <w:r>
        <w:rPr>
          <w:rFonts w:ascii="Garamond" w:cs="Garamond" w:eastAsia="Garamond" w:hAnsi="Garamond"/>
          <w:b/>
          <w:bCs/>
          <w:color w:val="1B2A4A"/>
          <w:sz w:val="22"/>
          <w:szCs w:val="22"/>
        </w:rPr>
        <w:t xml:space="preserve">Federal Supplementation Obligation</w:t>
      </w:r>
    </w:p>
    <w:p>
      <w:pPr>
        <w:spacing w:after="120" w:before="0"/>
        <w:ind w:left="863"/>
        <w:jc w:val="both"/>
      </w:pPr>
      <w:r>
        <w:rPr>
          <w:rFonts w:ascii="Garamond" w:cs="Garamond" w:eastAsia="Garamond" w:hAnsi="Garamond"/>
          <w:color w:val="2a2520"/>
          <w:sz w:val="22"/>
          <w:szCs w:val="22"/>
        </w:rPr>
        <w:t xml:space="preserve">BNF and Emergency Declarations — no domestic emergency may reduce, suspend, or otherwise diminish BNF benefits. The BNF is explicitly excluded from emergency powers. A PM who attempts to redirect BNF funds during an emergency has committed a constitutional breach reportable by the EI.</w:t>
      </w:r>
    </w:p>
    <w:p>
      <w:pPr>
        <w:spacing w:after="60" w:before="200"/>
        <w:ind w:left="431"/>
      </w:pPr>
      <w:r>
        <w:rPr>
          <w:rFonts w:ascii="Courier New" w:cs="Courier New" w:eastAsia="Courier New" w:hAnsi="Courier New"/>
          <w:b/>
          <w:bCs/>
          <w:color w:val="1B2A4A"/>
          <w:sz w:val="18"/>
          <w:szCs w:val="18"/>
        </w:rPr>
        <w:t xml:space="preserve">§10.2  </w:t>
      </w:r>
      <w:r>
        <w:rPr>
          <w:rFonts w:ascii="Garamond" w:cs="Garamond" w:eastAsia="Garamond" w:hAnsi="Garamond"/>
          <w:b/>
          <w:bCs/>
          <w:color w:val="1B2A4A"/>
          <w:sz w:val="22"/>
          <w:szCs w:val="22"/>
        </w:rPr>
        <w:t xml:space="preserve">Fiscal Accountability Framework</w:t>
      </w:r>
    </w:p>
    <w:p>
      <w:pPr>
        <w:spacing w:after="120" w:before="0"/>
        <w:ind w:left="431"/>
        <w:jc w:val="both"/>
      </w:pPr>
      <w:r>
        <w:rPr>
          <w:rFonts w:ascii="Garamond" w:cs="Garamond" w:eastAsia="Garamond" w:hAnsi="Garamond"/>
          <w:color w:val="2a2520"/>
          <w:sz w:val="22"/>
          <w:szCs w:val="22"/>
        </w:rPr>
        <w:t xml:space="preserve">Fiscal Accountability — 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863"/>
      </w:pPr>
      <w:r>
        <w:rPr>
          <w:rFonts w:ascii="Courier New" w:cs="Courier New" w:eastAsia="Courier New" w:hAnsi="Courier New"/>
          <w:b/>
          <w:bCs/>
          <w:color w:val="1B2A4A"/>
          <w:sz w:val="18"/>
          <w:szCs w:val="18"/>
        </w:rPr>
        <w:t xml:space="preserve">§10.2.a  </w:t>
      </w:r>
      <w:r>
        <w:rPr>
          <w:rFonts w:ascii="Garamond" w:cs="Garamond" w:eastAsia="Garamond" w:hAnsi="Garamond"/>
          <w:b/>
          <w:bCs/>
          <w:color w:val="1B2A4A"/>
          <w:sz w:val="22"/>
          <w:szCs w:val="22"/>
        </w:rPr>
        <w:t xml:space="preserve">Tax Origination and Fiscal Objection</w:t>
      </w:r>
    </w:p>
    <w:p>
      <w:pPr>
        <w:spacing w:after="120" w:before="0"/>
        <w:ind w:left="863"/>
        <w:jc w:val="both"/>
      </w:pPr>
      <w:r>
        <w:rPr>
          <w:rFonts w:ascii="Garamond" w:cs="Garamond" w:eastAsia="Garamond" w:hAnsi="Garamond"/>
          <w:color w:val="2a2520"/>
          <w:sz w:val="22"/>
          <w:szCs w:val="22"/>
        </w:rPr>
        <w:t xml:space="preserve">Deficit Threshold — 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863"/>
      </w:pPr>
      <w:r>
        <w:rPr>
          <w:rFonts w:ascii="Courier New" w:cs="Courier New" w:eastAsia="Courier New" w:hAnsi="Courier New"/>
          <w:b/>
          <w:bCs/>
          <w:color w:val="1B2A4A"/>
          <w:sz w:val="18"/>
          <w:szCs w:val="18"/>
        </w:rPr>
        <w:t xml:space="preserve">§10.2.b  </w:t>
      </w:r>
      <w:r>
        <w:rPr>
          <w:rFonts w:ascii="Garamond" w:cs="Garamond" w:eastAsia="Garamond" w:hAnsi="Garamond"/>
          <w:b/>
          <w:bCs/>
          <w:color w:val="1B2A4A"/>
          <w:sz w:val="22"/>
          <w:szCs w:val="22"/>
        </w:rPr>
        <w:t xml:space="preserve">Annual Budget and Continuation Spending</w:t>
      </w:r>
    </w:p>
    <w:p>
      <w:pPr>
        <w:spacing w:after="120" w:before="0"/>
        <w:ind w:left="863"/>
        <w:jc w:val="both"/>
      </w:pPr>
      <w:r>
        <w:rPr>
          <w:rFonts w:ascii="Garamond" w:cs="Garamond" w:eastAsia="Garamond" w:hAnsi="Garamond"/>
          <w:color w:val="2a2520"/>
          <w:sz w:val="22"/>
          <w:szCs w:val="22"/>
        </w:rPr>
        <w:t xml:space="preserve">National Endowment — the Legislature must by statute establish a National Endowment reserve fund for BNF backstop purposes during severe revenue contractions. Funded by appropriation in years of fiscal surplus. If the Legislature fails to establish the Endowment within the constitutionally required period, the failure is a constitutional compliance breach.</w:t>
      </w:r>
    </w:p>
    <w:p>
      <w:pPr>
        <w:spacing w:after="60" w:before="200"/>
        <w:ind w:left="431"/>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Public Campaign Financing</w:t>
      </w:r>
    </w:p>
    <w:p>
      <w:pPr>
        <w:spacing w:after="120" w:before="0"/>
        <w:ind w:left="431"/>
        <w:jc w:val="both"/>
      </w:pPr>
      <w:r>
        <w:rPr>
          <w:rFonts w:ascii="Garamond" w:cs="Garamond" w:eastAsia="Garamond" w:hAnsi="Garamond"/>
          <w:color w:val="2a2520"/>
          <w:sz w:val="22"/>
          <w:szCs w:val="22"/>
        </w:rPr>
        <w:t xml:space="preserve">Public Campaign Financing — the Legislature must by statute establish a public campaign financing system by the constitutional deadline. If it fails to do so, the failure triggers automatic referendum eligibility under §11.1 — citizens may petition for a national vote on whether to impose a public financing framework by citizen mandate.</w:t>
      </w:r>
    </w:p>
    <w:p>
      <w:pPr>
        <w:spacing w:after="60" w:before="200"/>
        <w:ind w:left="863"/>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Campaign Financing Standards</w:t>
      </w:r>
    </w:p>
    <w:p>
      <w:pPr>
        <w:spacing w:after="120" w:before="0"/>
        <w:ind w:left="863"/>
        <w:jc w:val="both"/>
      </w:pPr>
      <w:r>
        <w:rPr>
          <w:rFonts w:ascii="Garamond" w:cs="Garamond" w:eastAsia="Garamond" w:hAnsi="Garamond"/>
          <w:color w:val="2a2520"/>
          <w:sz w:val="22"/>
          <w:szCs w:val="22"/>
        </w:rPr>
        <w:t xml:space="preserve">Campaign Financing Standards — the public financing system must provide all registered candidates with equal access to public funds. No incumbent advantage in the allocation formula. Private contributions are capped at the de minimis threshold under §18.3. Administered by the Electoral Commission — not by either executive or the Legislature.</w:t>
      </w:r>
    </w:p>
    <w:p>
      <w:pPr>
        <w:spacing w:after="60" w:before="200"/>
        <w:ind w:left="863"/>
      </w:pPr>
      <w:r>
        <w:rPr>
          <w:rFonts w:ascii="Courier New" w:cs="Courier New" w:eastAsia="Courier New" w:hAnsi="Courier New"/>
          <w:b/>
          <w:bCs/>
          <w:color w:val="1B2A4A"/>
          <w:sz w:val="18"/>
          <w:szCs w:val="18"/>
        </w:rPr>
        <w:t xml:space="preserve">§10.3.b  </w:t>
      </w:r>
      <w:r>
        <w:rPr>
          <w:rFonts w:ascii="Garamond" w:cs="Garamond" w:eastAsia="Garamond" w:hAnsi="Garamond"/>
          <w:b/>
          <w:bCs/>
          <w:color w:val="1B2A4A"/>
          <w:sz w:val="22"/>
          <w:szCs w:val="22"/>
        </w:rPr>
        <w:t xml:space="preserve">BNF and Contraction Exemptions</w:t>
      </w:r>
    </w:p>
    <w:p>
      <w:pPr>
        <w:spacing w:after="120" w:before="0"/>
        <w:ind w:left="863"/>
        <w:jc w:val="both"/>
      </w:pPr>
      <w:r>
        <w:rPr>
          <w:rFonts w:ascii="Garamond" w:cs="Garamond" w:eastAsia="Garamond" w:hAnsi="Garamond"/>
          <w:color w:val="2a2520"/>
          <w:sz w:val="22"/>
          <w:szCs w:val="22"/>
        </w:rPr>
        <w:t xml:space="preserve">Enforcement of Campaign Financing — 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863"/>
      </w:pPr>
      <w:r>
        <w:rPr>
          <w:rFonts w:ascii="Courier New" w:cs="Courier New" w:eastAsia="Courier New" w:hAnsi="Courier New"/>
          <w:b/>
          <w:bCs/>
          <w:color w:val="1B2A4A"/>
          <w:sz w:val="18"/>
          <w:szCs w:val="18"/>
        </w:rPr>
        <w:t xml:space="preserve">§10.4.a  </w:t>
      </w:r>
      <w:r>
        <w:rPr>
          <w:rFonts w:ascii="Garamond" w:cs="Garamond" w:eastAsia="Garamond" w:hAnsi="Garamond"/>
          <w:b/>
          <w:bCs/>
          <w:color w:val="1B2A4A"/>
          <w:sz w:val="22"/>
          <w:szCs w:val="22"/>
        </w:rPr>
        <w:t xml:space="preserve">MA Director — Elected Office</w:t>
      </w:r>
    </w:p>
    <w:p>
      <w:pPr>
        <w:spacing w:after="120" w:before="0"/>
        <w:ind w:left="863"/>
        <w:jc w:val="both"/>
      </w:pPr>
      <w:r>
        <w:rPr>
          <w:rFonts w:ascii="Garamond" w:cs="Garamond" w:eastAsia="Garamond" w:hAnsi="Garamond"/>
          <w:color w:val="2a2520"/>
          <w:sz w:val="22"/>
          <w:szCs w:val="22"/>
        </w:rPr>
        <w:t xml:space="preserve">MA Director Election and Board Composition — the MA is governed by an elected Director and a board of five appointed members. The Director is elected by national RCV on National Election Day to a single non-renewable 8-year term, staggered from the board member appointment cycle. The elected Director gives the MA democratic legitimacy while the single non-renewable term protects independence — the Director cannot be captured by political interests whose support would secure re-election.</w:t>
      </w:r>
    </w:p>
    <w:p>
      <w:pPr>
        <w:spacing w:after="60" w:before="200"/>
        <w:ind w:left="863"/>
      </w:pPr>
      <w:r>
        <w:rPr>
          <w:rFonts w:ascii="Courier New" w:cs="Courier New" w:eastAsia="Courier New" w:hAnsi="Courier New"/>
          <w:b/>
          <w:bCs/>
          <w:color w:val="1B2A4A"/>
          <w:sz w:val="18"/>
          <w:szCs w:val="18"/>
        </w:rPr>
        <w:t xml:space="preserve">§10.4.b  </w:t>
      </w:r>
      <w:r>
        <w:rPr>
          <w:rFonts w:ascii="Garamond" w:cs="Garamond" w:eastAsia="Garamond" w:hAnsi="Garamond"/>
          <w:b/>
          <w:bCs/>
          <w:color w:val="1B2A4A"/>
          <w:sz w:val="22"/>
          <w:szCs w:val="22"/>
        </w:rPr>
        <w:t xml:space="preserve">MA Independence</w:t>
      </w:r>
    </w:p>
    <w:p>
      <w:pPr>
        <w:spacing w:after="120" w:before="0"/>
        <w:ind w:left="863"/>
        <w:jc w:val="both"/>
      </w:pPr>
      <w:r>
        <w:rPr>
          <w:rFonts w:ascii="Garamond" w:cs="Garamond" w:eastAsia="Garamond" w:hAnsi="Garamond"/>
          <w:color w:val="2a2520"/>
          <w:sz w:val="22"/>
          <w:szCs w:val="22"/>
        </w:rPr>
        <w:t xml:space="preserve">MA Independence and Mandate — 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Tested under maximum pressure in The Stagflation Years: the SC ruled 6-3 that the Mandate Rebalancing Act was void for attempting to convert the secondary mandate into a co-equal constraint on the primary mandate.</w:t>
      </w:r>
    </w:p>
    <w:p>
      <w:pPr>
        <w:spacing w:after="60" w:before="200"/>
        <w:ind w:left="863"/>
      </w:pPr>
      <w:r>
        <w:rPr>
          <w:rFonts w:ascii="Courier New" w:cs="Courier New" w:eastAsia="Courier New" w:hAnsi="Courier New"/>
          <w:b/>
          <w:bCs/>
          <w:color w:val="1B2A4A"/>
          <w:sz w:val="18"/>
          <w:szCs w:val="18"/>
        </w:rPr>
        <w:t xml:space="preserve">§10.4.c  </w:t>
      </w:r>
      <w:r>
        <w:rPr>
          <w:rFonts w:ascii="Garamond" w:cs="Garamond" w:eastAsia="Garamond" w:hAnsi="Garamond"/>
          <w:b/>
          <w:bCs/>
          <w:color w:val="1B2A4A"/>
          <w:sz w:val="22"/>
          <w:szCs w:val="22"/>
        </w:rPr>
        <w:t xml:space="preserve">Transparency</w:t>
      </w:r>
    </w:p>
    <w:p>
      <w:pPr>
        <w:spacing w:after="120" w:before="0"/>
        <w:ind w:left="863"/>
        <w:jc w:val="both"/>
      </w:pPr>
      <w:r>
        <w:rPr>
          <w:rFonts w:ascii="Garamond" w:cs="Garamond" w:eastAsia="Garamond" w:hAnsi="Garamond"/>
          <w:color w:val="2a2520"/>
          <w:sz w:val="22"/>
          <w:szCs w:val="22"/>
        </w:rPr>
        <w:t xml:space="preserve">MA Transparency — all MA determinations, rate decisions, board votes, dissents, and mandate analyses must be published to the NRS within 48 hours of the board meeting. Board Member dissents are published alongside the majority determination. The transparency requirement serves as both an accountability mechanism and a credibility tool — the MA's reasoning is permanently visible.</w:t>
      </w:r>
    </w:p>
    <w:p>
      <w:pPr>
        <w:spacing w:after="60" w:before="200"/>
        <w:ind w:left="863"/>
      </w:pPr>
      <w:r>
        <w:rPr>
          <w:rFonts w:ascii="Courier New" w:cs="Courier New" w:eastAsia="Courier New" w:hAnsi="Courier New"/>
          <w:b/>
          <w:bCs/>
          <w:color w:val="1B2A4A"/>
          <w:sz w:val="18"/>
          <w:szCs w:val="18"/>
        </w:rPr>
        <w:t xml:space="preserve">§10.4.d  </w:t>
      </w:r>
      <w:r>
        <w:rPr>
          <w:rFonts w:ascii="Garamond" w:cs="Garamond" w:eastAsia="Garamond" w:hAnsi="Garamond"/>
          <w:b/>
          <w:bCs/>
          <w:color w:val="1B2A4A"/>
          <w:sz w:val="22"/>
          <w:szCs w:val="22"/>
        </w:rPr>
        <w:t xml:space="preserve">Methodology Integrity</w:t>
      </w:r>
    </w:p>
    <w:p>
      <w:pPr>
        <w:spacing w:after="120" w:before="0"/>
        <w:ind w:left="863"/>
        <w:jc w:val="both"/>
      </w:pPr>
      <w:r>
        <w:rPr>
          <w:rFonts w:ascii="Garamond" w:cs="Garamond" w:eastAsia="Garamond" w:hAnsi="Garamond"/>
          <w:color w:val="2a2520"/>
          <w:sz w:val="22"/>
          <w:szCs w:val="22"/>
        </w:rPr>
        <w:t xml:space="preserve">MA Methodology Integrity — 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w:t>
      </w:r>
    </w:p>
    <w:p>
      <w:pPr>
        <w:spacing w:after="60" w:before="200"/>
        <w:ind w:left="863"/>
      </w:pPr>
      <w:r>
        <w:rPr>
          <w:rFonts w:ascii="Courier New" w:cs="Courier New" w:eastAsia="Courier New" w:hAnsi="Courier New"/>
          <w:b/>
          <w:bCs/>
          <w:color w:val="1B2A4A"/>
          <w:sz w:val="18"/>
          <w:szCs w:val="18"/>
        </w:rPr>
        <w:t xml:space="preserve">§10.4.e  </w:t>
      </w:r>
      <w:r>
        <w:rPr>
          <w:rFonts w:ascii="Garamond" w:cs="Garamond" w:eastAsia="Garamond" w:hAnsi="Garamond"/>
          <w:b/>
          <w:bCs/>
          <w:color w:val="1B2A4A"/>
          <w:sz w:val="22"/>
          <w:szCs w:val="22"/>
        </w:rPr>
        <w:t xml:space="preserve">Uncertifiable Inherited Fiscal Position</w:t>
      </w:r>
    </w:p>
    <w:p>
      <w:pPr>
        <w:spacing w:after="120" w:before="0"/>
        <w:ind w:left="863"/>
        <w:jc w:val="both"/>
      </w:pPr>
      <w:r>
        <w:rPr>
          <w:rFonts w:ascii="Garamond" w:cs="Garamond" w:eastAsia="Garamond" w:hAnsi="Garamond"/>
          <w:color w:val="2a2520"/>
          <w:sz w:val="22"/>
          <w:szCs w:val="22"/>
        </w:rPr>
        <w:t xml:space="preserve">Uncertifiable Inherited Fiscal Position — 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863"/>
      </w:pPr>
      <w:r>
        <w:rPr>
          <w:rFonts w:ascii="Courier New" w:cs="Courier New" w:eastAsia="Courier New" w:hAnsi="Courier New"/>
          <w:b/>
          <w:bCs/>
          <w:color w:val="1B2A4A"/>
          <w:sz w:val="18"/>
          <w:szCs w:val="18"/>
        </w:rPr>
        <w:t xml:space="preserve">§10.5.a  </w:t>
      </w:r>
      <w:r>
        <w:rPr>
          <w:rFonts w:ascii="Garamond" w:cs="Garamond" w:eastAsia="Garamond" w:hAnsi="Garamond"/>
          <w:b/>
          <w:bCs/>
          <w:color w:val="1B2A4A"/>
          <w:sz w:val="22"/>
          <w:szCs w:val="22"/>
        </w:rPr>
        <w:t xml:space="preserve">Official Benefits</w:t>
      </w:r>
    </w:p>
    <w:p>
      <w:pPr>
        <w:spacing w:after="120" w:before="0"/>
        <w:ind w:left="863"/>
        <w:jc w:val="both"/>
      </w:pPr>
      <w:r>
        <w:rPr>
          <w:rFonts w:ascii="Garamond" w:cs="Garamond" w:eastAsia="Garamond" w:hAnsi="Garamond"/>
          <w:color w:val="2a2520"/>
          <w:sz w:val="22"/>
          <w:szCs w:val="22"/>
        </w:rPr>
        <w:t xml:space="preserve">Personal Financial Disclosure — all elected and appointed constitutional officers must disclose all financial interests, holdings, income sources, and liabilities to the EI within 30 days of taking office and annually thereafter. Disclosure records are published to the NRS.</w:t>
      </w:r>
    </w:p>
    <w:p>
      <w:pPr>
        <w:spacing w:after="60" w:before="200"/>
        <w:ind w:left="863"/>
      </w:pPr>
      <w:r>
        <w:rPr>
          <w:rFonts w:ascii="Courier New" w:cs="Courier New" w:eastAsia="Courier New" w:hAnsi="Courier New"/>
          <w:b/>
          <w:bCs/>
          <w:color w:val="1B2A4A"/>
          <w:sz w:val="18"/>
          <w:szCs w:val="18"/>
        </w:rPr>
        <w:t xml:space="preserve">§10.5.b  </w:t>
      </w:r>
      <w:r>
        <w:rPr>
          <w:rFonts w:ascii="Garamond" w:cs="Garamond" w:eastAsia="Garamond" w:hAnsi="Garamond"/>
          <w:b/>
          <w:bCs/>
          <w:color w:val="1B2A4A"/>
          <w:sz w:val="22"/>
          <w:szCs w:val="22"/>
        </w:rPr>
        <w:t xml:space="preserve">Financial Disclosure</w:t>
      </w:r>
    </w:p>
    <w:p>
      <w:pPr>
        <w:spacing w:after="120" w:before="0"/>
        <w:ind w:left="863"/>
        <w:jc w:val="both"/>
      </w:pPr>
      <w:r>
        <w:rPr>
          <w:rFonts w:ascii="Garamond" w:cs="Garamond" w:eastAsia="Garamond" w:hAnsi="Garamond"/>
          <w:color w:val="2a2520"/>
          <w:sz w:val="22"/>
          <w:szCs w:val="22"/>
        </w:rPr>
        <w:t xml:space="preserve">Conflict of Interest Recusal — 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863"/>
      </w:pPr>
      <w:r>
        <w:rPr>
          <w:rFonts w:ascii="Courier New" w:cs="Courier New" w:eastAsia="Courier New" w:hAnsi="Courier New"/>
          <w:b/>
          <w:bCs/>
          <w:color w:val="1B2A4A"/>
          <w:sz w:val="18"/>
          <w:szCs w:val="18"/>
        </w:rPr>
        <w:t xml:space="preserve">§10.5.c  </w:t>
      </w:r>
      <w:r>
        <w:rPr>
          <w:rFonts w:ascii="Garamond" w:cs="Garamond" w:eastAsia="Garamond" w:hAnsi="Garamond"/>
          <w:b/>
          <w:bCs/>
          <w:color w:val="1B2A4A"/>
          <w:sz w:val="22"/>
          <w:szCs w:val="22"/>
        </w:rPr>
        <w:t xml:space="preserve">Integrity Bans</w:t>
      </w:r>
    </w:p>
    <w:p>
      <w:pPr>
        <w:spacing w:after="120" w:before="0"/>
        <w:ind w:left="863"/>
        <w:jc w:val="both"/>
      </w:pPr>
      <w:r>
        <w:rPr>
          <w:rFonts w:ascii="Garamond" w:cs="Garamond" w:eastAsia="Garamond" w:hAnsi="Garamond"/>
          <w:color w:val="2a2520"/>
          <w:sz w:val="22"/>
          <w:szCs w:val="22"/>
        </w:rPr>
        <w:t xml:space="preserve">Post-Service Restrictions — constitutional officers may not, for 5 years after leaving office, engage in activities that monetize non-public information acquired during service. The restriction covers lobbying, consulting, and any advisory role that draws on confidential government knowledge.</w:t>
      </w:r>
    </w:p>
    <w:p>
      <w:pPr>
        <w:spacing w:after="60" w:before="200"/>
        <w:ind w:left="863"/>
      </w:pPr>
      <w:r>
        <w:rPr>
          <w:rFonts w:ascii="Courier New" w:cs="Courier New" w:eastAsia="Courier New" w:hAnsi="Courier New"/>
          <w:b/>
          <w:bCs/>
          <w:color w:val="1B2A4A"/>
          <w:sz w:val="18"/>
          <w:szCs w:val="18"/>
        </w:rPr>
        <w:t xml:space="preserve">§10.5.d  </w:t>
      </w:r>
      <w:r>
        <w:rPr>
          <w:rFonts w:ascii="Garamond" w:cs="Garamond" w:eastAsia="Garamond" w:hAnsi="Garamond"/>
          <w:b/>
          <w:bCs/>
          <w:color w:val="1B2A4A"/>
          <w:sz w:val="22"/>
          <w:szCs w:val="22"/>
        </w:rPr>
        <w:t xml:space="preserve">Anti-Ego Provision</w:t>
      </w:r>
    </w:p>
    <w:p>
      <w:pPr>
        <w:spacing w:after="120" w:before="0"/>
        <w:ind w:left="863"/>
        <w:jc w:val="both"/>
      </w:pPr>
      <w:r>
        <w:rPr>
          <w:rFonts w:ascii="Garamond" w:cs="Garamond" w:eastAsia="Garamond" w:hAnsi="Garamond"/>
          <w:color w:val="2a2520"/>
          <w:sz w:val="22"/>
          <w:szCs w:val="22"/>
        </w:rPr>
        <w:t xml:space="preserve">Gift and Hospitality Rules — 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863"/>
      </w:pPr>
      <w:r>
        <w:rPr>
          <w:rFonts w:ascii="Courier New" w:cs="Courier New" w:eastAsia="Courier New" w:hAnsi="Courier New"/>
          <w:b/>
          <w:bCs/>
          <w:color w:val="1B2A4A"/>
          <w:sz w:val="18"/>
          <w:szCs w:val="18"/>
        </w:rPr>
        <w:t xml:space="preserve">§10.5.e  </w:t>
      </w:r>
      <w:r>
        <w:rPr>
          <w:rFonts w:ascii="Garamond" w:cs="Garamond" w:eastAsia="Garamond" w:hAnsi="Garamond"/>
          <w:b/>
          <w:bCs/>
          <w:color w:val="1B2A4A"/>
          <w:sz w:val="22"/>
          <w:szCs w:val="22"/>
        </w:rPr>
        <w:t xml:space="preserve">Official Records Belong to the Republic</w:t>
      </w:r>
    </w:p>
    <w:p>
      <w:pPr>
        <w:spacing w:after="120" w:before="0"/>
        <w:ind w:left="863"/>
        <w:jc w:val="both"/>
      </w:pPr>
      <w:r>
        <w:rPr>
          <w:rFonts w:ascii="Garamond" w:cs="Garamond" w:eastAsia="Garamond" w:hAnsi="Garamond"/>
          <w:color w:val="2a2520"/>
          <w:sz w:val="22"/>
          <w:szCs w:val="22"/>
        </w:rPr>
        <w:t xml:space="preserve">Official Records Retention — 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863"/>
      </w:pPr>
      <w:r>
        <w:rPr>
          <w:rFonts w:ascii="Courier New" w:cs="Courier New" w:eastAsia="Courier New" w:hAnsi="Courier New"/>
          <w:b/>
          <w:bCs/>
          <w:color w:val="1B2A4A"/>
          <w:sz w:val="18"/>
          <w:szCs w:val="18"/>
        </w:rPr>
        <w:t xml:space="preserve">§10.5.f  </w:t>
      </w:r>
      <w:r>
        <w:rPr>
          <w:rFonts w:ascii="Garamond" w:cs="Garamond" w:eastAsia="Garamond" w:hAnsi="Garamond"/>
          <w:b/>
          <w:bCs/>
          <w:color w:val="1B2A4A"/>
          <w:sz w:val="22"/>
          <w:szCs w:val="22"/>
        </w:rPr>
        <w:t xml:space="preserve">Official Gifts</w:t>
      </w:r>
    </w:p>
    <w:p>
      <w:pPr>
        <w:spacing w:after="120" w:before="0"/>
        <w:ind w:left="863"/>
        <w:jc w:val="both"/>
      </w:pPr>
      <w:r>
        <w:rPr>
          <w:rFonts w:ascii="Garamond" w:cs="Garamond" w:eastAsia="Garamond" w:hAnsi="Garamond"/>
          <w:color w:val="2a2520"/>
          <w:sz w:val="22"/>
          <w:szCs w:val="22"/>
        </w:rPr>
        <w:t xml:space="preserve">Revolving Door Restriction — constitutional officers may not move directly from government service into private roles that would allow them to exploit relationships, knowledge, or access accumulated during service. The 5-year cooling-off period applies to regulated industries directly affected by the officer's prior decisions.</w:t>
      </w:r>
    </w:p>
    <w:p>
      <w:pPr>
        <w:spacing w:after="60" w:before="200"/>
        <w:ind w:left="863"/>
      </w:pPr>
      <w:r>
        <w:rPr>
          <w:rFonts w:ascii="Courier New" w:cs="Courier New" w:eastAsia="Courier New" w:hAnsi="Courier New"/>
          <w:b/>
          <w:bCs/>
          <w:color w:val="1B2A4A"/>
          <w:sz w:val="18"/>
          <w:szCs w:val="18"/>
        </w:rPr>
        <w:t xml:space="preserve">§10.5.g  </w:t>
      </w:r>
      <w:r>
        <w:rPr>
          <w:rFonts w:ascii="Garamond" w:cs="Garamond" w:eastAsia="Garamond" w:hAnsi="Garamond"/>
          <w:b/>
          <w:bCs/>
          <w:color w:val="1B2A4A"/>
          <w:sz w:val="22"/>
          <w:szCs w:val="22"/>
        </w:rPr>
        <w:t xml:space="preserve">Official Intellectual Property</w:t>
      </w:r>
    </w:p>
    <w:p>
      <w:pPr>
        <w:spacing w:after="120" w:before="0"/>
        <w:ind w:left="863"/>
        <w:jc w:val="both"/>
      </w:pPr>
      <w:r>
        <w:rPr>
          <w:rFonts w:ascii="Garamond" w:cs="Garamond" w:eastAsia="Garamond" w:hAnsi="Garamond"/>
          <w:color w:val="2a2520"/>
          <w:sz w:val="22"/>
          <w:szCs w:val="22"/>
        </w:rPr>
        <w:t xml:space="preserve">Official Intellectual Property — ideas, analyses, and work product created during official service belong to the Republic. An officer may not monetize work done in their official capacity for 5 years following service. For classified information, the 5-year cooling-off applies after declassification — it cannot be monetized the day after it becomes public.</w:t>
      </w:r>
    </w:p>
    <w:p>
      <w:pPr>
        <w:spacing w:after="60" w:before="200"/>
        <w:ind w:left="863"/>
      </w:pPr>
      <w:r>
        <w:rPr>
          <w:rFonts w:ascii="Courier New" w:cs="Courier New" w:eastAsia="Courier New" w:hAnsi="Courier New"/>
          <w:b/>
          <w:bCs/>
          <w:color w:val="1B2A4A"/>
          <w:sz w:val="18"/>
          <w:szCs w:val="18"/>
        </w:rPr>
        <w:t xml:space="preserve">§10.5.h  </w:t>
      </w:r>
      <w:r>
        <w:rPr>
          <w:rFonts w:ascii="Garamond" w:cs="Garamond" w:eastAsia="Garamond" w:hAnsi="Garamond"/>
          <w:b/>
          <w:bCs/>
          <w:color w:val="1B2A4A"/>
          <w:sz w:val="22"/>
          <w:szCs w:val="22"/>
        </w:rPr>
        <w:t xml:space="preserve">Oath of Office Requirement</w:t>
      </w:r>
    </w:p>
    <w:p>
      <w:pPr>
        <w:spacing w:after="120" w:before="0"/>
        <w:ind w:left="863"/>
        <w:jc w:val="both"/>
      </w:pPr>
      <w:r>
        <w:rPr>
          <w:rFonts w:ascii="Garamond" w:cs="Garamond" w:eastAsia="Garamond" w:hAnsi="Garamond"/>
          <w:color w:val="2a2520"/>
          <w:sz w:val="22"/>
          <w:szCs w:val="22"/>
        </w:rPr>
        <w:t xml:space="preserve">Ethics Enforcement — the EI is the primary enforcement mechanism for the §10.5 ethics provisions. The EI publishes all disclosed conflicts, all flagged violations, and all referrals to the Legislature for removal proceedings. The EI publishes facts and refers serious violations — it does not impose penalties directly.</w:t>
      </w:r>
    </w:p>
    <w:p>
      <w:pPr>
        <w:spacing w:after="60" w:before="200"/>
        <w:ind w:left="863"/>
      </w:pPr>
      <w:r>
        <w:rPr>
          <w:rFonts w:ascii="Courier New" w:cs="Courier New" w:eastAsia="Courier New" w:hAnsi="Courier New"/>
          <w:b/>
          <w:bCs/>
          <w:color w:val="1B2A4A"/>
          <w:sz w:val="18"/>
          <w:szCs w:val="18"/>
        </w:rPr>
        <w:t xml:space="preserve">§10.6.a  </w:t>
      </w:r>
      <w:r>
        <w:rPr>
          <w:rFonts w:ascii="Garamond" w:cs="Garamond" w:eastAsia="Garamond" w:hAnsi="Garamond"/>
          <w:b/>
          <w:bCs/>
          <w:color w:val="1B2A4A"/>
          <w:sz w:val="22"/>
          <w:szCs w:val="22"/>
        </w:rPr>
        <w:t xml:space="preserve">National Endowment Governance</w:t>
      </w:r>
    </w:p>
    <w:p>
      <w:pPr>
        <w:spacing w:after="120" w:before="0"/>
        <w:ind w:left="863"/>
        <w:jc w:val="both"/>
      </w:pPr>
      <w:r>
        <w:rPr>
          <w:rFonts w:ascii="Garamond" w:cs="Garamond" w:eastAsia="Garamond" w:hAnsi="Garamond"/>
          <w:color w:val="2a2520"/>
          <w:sz w:val="22"/>
          <w:szCs w:val="22"/>
        </w:rPr>
        <w:t xml:space="preserve">National Endowment Governance — governed by a board of trustees appointed by the PM from JI-maintained candidates, confirmed by the Senate. The board's sole mandate is to preserve and grow the Endowment fund for BNF backstop purposes — it may not be directed to other investment goals by either executive or the Legislature.</w:t>
      </w:r>
    </w:p>
    <w:p>
      <w:pPr>
        <w:spacing w:after="60" w:before="200"/>
        <w:ind w:left="863"/>
      </w:pPr>
      <w:r>
        <w:rPr>
          <w:rFonts w:ascii="Courier New" w:cs="Courier New" w:eastAsia="Courier New" w:hAnsi="Courier New"/>
          <w:b/>
          <w:bCs/>
          <w:color w:val="1B2A4A"/>
          <w:sz w:val="18"/>
          <w:szCs w:val="18"/>
        </w:rPr>
        <w:t xml:space="preserve">§10.6.b  </w:t>
      </w:r>
      <w:r>
        <w:rPr>
          <w:rFonts w:ascii="Garamond" w:cs="Garamond" w:eastAsia="Garamond" w:hAnsi="Garamond"/>
          <w:b/>
          <w:bCs/>
          <w:color w:val="1B2A4A"/>
          <w:sz w:val="22"/>
          <w:szCs w:val="22"/>
        </w:rPr>
        <w:t xml:space="preserve">Defense Readiness and Veterans Obligations</w:t>
      </w:r>
    </w:p>
    <w:p>
      <w:pPr>
        <w:spacing w:after="120" w:before="0"/>
        <w:ind w:left="863"/>
        <w:jc w:val="both"/>
      </w:pPr>
      <w:r>
        <w:rPr>
          <w:rFonts w:ascii="Garamond" w:cs="Garamond" w:eastAsia="Garamond" w:hAnsi="Garamond"/>
          <w:color w:val="2a2520"/>
          <w:sz w:val="22"/>
          <w:szCs w:val="22"/>
        </w:rPr>
        <w:t xml:space="preserve">Endowment Activation — when the MA certifies a Severe Revenue Contraction under §10.1.f, the Endowment is automatically activated. The board must begin BNF supplement disbursements within 30 days. Disbursements continue until the MA certifies that the revenue contraction has ended. The board may not withhold disbursements during a certified contraction — activation is automatic.</w:t>
      </w:r>
    </w:p>
    <w:p>
      <w:pPr>
        <w:spacing w:after="60" w:before="200"/>
        <w:ind w:left="431"/>
      </w:pPr>
      <w:r>
        <w:rPr>
          <w:rFonts w:ascii="Courier New" w:cs="Courier New" w:eastAsia="Courier New" w:hAnsi="Courier New"/>
          <w:b/>
          <w:bCs/>
          <w:color w:val="1B2A4A"/>
          <w:sz w:val="18"/>
          <w:szCs w:val="18"/>
        </w:rPr>
        <w:t xml:space="preserve">§10.7  </w:t>
      </w:r>
      <w:r>
        <w:rPr>
          <w:rFonts w:ascii="Garamond" w:cs="Garamond" w:eastAsia="Garamond" w:hAnsi="Garamond"/>
          <w:b/>
          <w:bCs/>
          <w:color w:val="1B2A4A"/>
          <w:sz w:val="22"/>
          <w:szCs w:val="22"/>
        </w:rPr>
        <w:t xml:space="preserve">Compensation of Public Officials</w:t>
      </w:r>
    </w:p>
    <w:p>
      <w:pPr>
        <w:spacing w:after="120" w:before="0"/>
        <w:ind w:left="431"/>
        <w:jc w:val="both"/>
      </w:pPr>
      <w:r>
        <w:rPr>
          <w:rFonts w:ascii="Garamond" w:cs="Garamond" w:eastAsia="Garamond" w:hAnsi="Garamond"/>
          <w:color w:val="2a2520"/>
          <w:sz w:val="22"/>
          <w:szCs w:val="22"/>
        </w:rPr>
        <w:t xml:space="preserve">The Republic relies on a volunteer military. Emergency mobilization is governed by Article XII. The Republic acknowledges a special obligation to persons who served in military or national service — distinct from the Basic Needs Floor. Veterans obligations are constitutional commitments that survive any government transition.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 — Referenda</w:t>
      </w:r>
    </w:p>
    <w:p>
      <w:pPr>
        <w:spacing w:after="120"/>
      </w:pPr>
    </w:p>
    <w:p>
      <w:pPr>
        <w:spacing w:after="60" w:before="200"/>
        <w:ind w:left="431"/>
      </w:pPr>
      <w:r>
        <w:rPr>
          <w:rFonts w:ascii="Courier New" w:cs="Courier New" w:eastAsia="Courier New" w:hAnsi="Courier New"/>
          <w:b/>
          <w:bCs/>
          <w:color w:val="1B2A4A"/>
          <w:sz w:val="18"/>
          <w:szCs w:val="18"/>
        </w:rPr>
        <w:t xml:space="preserve">§11.1  </w:t>
      </w:r>
      <w:r>
        <w:rPr>
          <w:rFonts w:ascii="Garamond" w:cs="Garamond" w:eastAsia="Garamond" w:hAnsi="Garamond"/>
          <w:b/>
          <w:bCs/>
          <w:color w:val="1B2A4A"/>
          <w:sz w:val="22"/>
          <w:szCs w:val="22"/>
        </w:rPr>
        <w:t xml:space="preserve">Optional Referendum</w:t>
      </w:r>
    </w:p>
    <w:p>
      <w:pPr>
        <w:spacing w:after="120" w:before="0"/>
        <w:ind w:left="431"/>
        <w:jc w:val="both"/>
      </w:pPr>
      <w:r>
        <w:rPr>
          <w:rFonts w:ascii="Garamond" w:cs="Garamond" w:eastAsia="Garamond" w:hAnsi="Garamond"/>
          <w:color w:val="2a2520"/>
          <w:sz w:val="22"/>
          <w:szCs w:val="22"/>
        </w:rPr>
        <w:t xml:space="preserve">Optional Referendum — citizens may initiate a national referendum to repeal enacted legislation by petition of 5% of eligible voters within 90 days of enactment. The JI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863"/>
      </w:pPr>
      <w:r>
        <w:rPr>
          <w:rFonts w:ascii="Courier New" w:cs="Courier New" w:eastAsia="Courier New" w:hAnsi="Courier New"/>
          <w:b/>
          <w:bCs/>
          <w:color w:val="1B2A4A"/>
          <w:sz w:val="18"/>
          <w:szCs w:val="18"/>
        </w:rPr>
        <w:t xml:space="preserve">§11.1.a  </w:t>
      </w:r>
      <w:r>
        <w:rPr>
          <w:rFonts w:ascii="Garamond" w:cs="Garamond" w:eastAsia="Garamond" w:hAnsi="Garamond"/>
          <w:b/>
          <w:bCs/>
          <w:color w:val="1B2A4A"/>
          <w:sz w:val="22"/>
          <w:szCs w:val="22"/>
        </w:rPr>
        <w:t xml:space="preserve">Citizen Petition Right</w:t>
      </w:r>
    </w:p>
    <w:p>
      <w:pPr>
        <w:spacing w:after="120" w:before="0"/>
        <w:ind w:left="863"/>
        <w:jc w:val="both"/>
      </w:pPr>
      <w:r>
        <w:rPr>
          <w:rFonts w:ascii="Garamond" w:cs="Garamond" w:eastAsia="Garamond" w:hAnsi="Garamond"/>
          <w:color w:val="2a2520"/>
          <w:sz w:val="22"/>
          <w:szCs w:val="22"/>
        </w:rPr>
        <w:t xml:space="preserve">Petition Requirements — the 5% petition must be collected within 90 days of the law's enactment. The EI verifies petition signatures for eligibility. If the threshold is met, the EC administers the referendum within 90 days of verification. Petitioners may withdraw the petition before the referendum is scheduled, but not after.</w:t>
      </w:r>
    </w:p>
    <w:p>
      <w:pPr>
        <w:spacing w:after="60" w:before="200"/>
        <w:ind w:left="863"/>
      </w:pPr>
      <w:r>
        <w:rPr>
          <w:rFonts w:ascii="Courier New" w:cs="Courier New" w:eastAsia="Courier New" w:hAnsi="Courier New"/>
          <w:b/>
          <w:bCs/>
          <w:color w:val="1B2A4A"/>
          <w:sz w:val="18"/>
          <w:szCs w:val="18"/>
        </w:rPr>
        <w:t xml:space="preserve">§11.1.b  </w:t>
      </w:r>
      <w:r>
        <w:rPr>
          <w:rFonts w:ascii="Garamond" w:cs="Garamond" w:eastAsia="Garamond" w:hAnsi="Garamond"/>
          <w:b/>
          <w:bCs/>
          <w:color w:val="1B2A4A"/>
          <w:sz w:val="22"/>
          <w:szCs w:val="22"/>
        </w:rPr>
        <w:t xml:space="preserve">Eligibility Screen</w:t>
      </w:r>
    </w:p>
    <w:p>
      <w:pPr>
        <w:spacing w:after="120" w:before="0"/>
        <w:ind w:left="863"/>
        <w:jc w:val="both"/>
      </w:pPr>
      <w:r>
        <w:rPr>
          <w:rFonts w:ascii="Garamond" w:cs="Garamond" w:eastAsia="Garamond" w:hAnsi="Garamond"/>
          <w:color w:val="2a2520"/>
          <w:sz w:val="22"/>
          <w:szCs w:val="22"/>
        </w:rPr>
        <w:t xml:space="preserve">JI Eligibility Screening — the JI determines whether a targeted law is eligible for referendum. Laws that solely or primarily expand an Article I right are ineligible — the Individual Sovereignty Floor can expand but cannot contract through popular vote. The JI's eligibility determination is final subject only to SC review on an expedited basis within 14 days.</w:t>
      </w:r>
    </w:p>
    <w:p>
      <w:pPr>
        <w:spacing w:after="60" w:before="200"/>
        <w:ind w:left="863"/>
      </w:pPr>
      <w:r>
        <w:rPr>
          <w:rFonts w:ascii="Courier New" w:cs="Courier New" w:eastAsia="Courier New" w:hAnsi="Courier New"/>
          <w:b/>
          <w:bCs/>
          <w:color w:val="1B2A4A"/>
          <w:sz w:val="18"/>
          <w:szCs w:val="18"/>
        </w:rPr>
        <w:t xml:space="preserve">§11.1.c  </w:t>
      </w:r>
      <w:r>
        <w:rPr>
          <w:rFonts w:ascii="Garamond" w:cs="Garamond" w:eastAsia="Garamond" w:hAnsi="Garamond"/>
          <w:b/>
          <w:bCs/>
          <w:color w:val="1B2A4A"/>
          <w:sz w:val="22"/>
          <w:szCs w:val="22"/>
        </w:rPr>
        <w:t xml:space="preserve">Referendum Thresholds and Finality</w:t>
      </w:r>
    </w:p>
    <w:p>
      <w:pPr>
        <w:spacing w:after="120" w:before="0"/>
        <w:ind w:left="863"/>
        <w:jc w:val="both"/>
      </w:pPr>
      <w:r>
        <w:rPr>
          <w:rFonts w:ascii="Garamond" w:cs="Garamond" w:eastAsia="Garamond" w:hAnsi="Garamond"/>
          <w:color w:val="2a2520"/>
          <w:sz w:val="22"/>
          <w:szCs w:val="22"/>
        </w:rPr>
        <w:t xml:space="preserve">Referendum Outcome — 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863"/>
      </w:pPr>
      <w:r>
        <w:rPr>
          <w:rFonts w:ascii="Courier New" w:cs="Courier New" w:eastAsia="Courier New" w:hAnsi="Courier New"/>
          <w:b/>
          <w:bCs/>
          <w:color w:val="1B2A4A"/>
          <w:sz w:val="18"/>
          <w:szCs w:val="18"/>
        </w:rPr>
        <w:t xml:space="preserve">§11.2.a  </w:t>
      </w:r>
      <w:r>
        <w:rPr>
          <w:rFonts w:ascii="Garamond" w:cs="Garamond" w:eastAsia="Garamond" w:hAnsi="Garamond"/>
          <w:b/>
          <w:bCs/>
          <w:color w:val="1B2A4A"/>
          <w:sz w:val="22"/>
          <w:szCs w:val="22"/>
        </w:rPr>
        <w:t xml:space="preserve">Subsidiarity Principle</w:t>
      </w:r>
    </w:p>
    <w:p>
      <w:pPr>
        <w:spacing w:after="120" w:before="0"/>
        <w:ind w:left="863"/>
        <w:jc w:val="both"/>
      </w:pPr>
      <w:r>
        <w:rPr>
          <w:rFonts w:ascii="Garamond" w:cs="Garamond" w:eastAsia="Garamond" w:hAnsi="Garamond"/>
          <w:color w:val="2a2520"/>
          <w:sz w:val="22"/>
          <w:szCs w:val="22"/>
        </w:rPr>
        <w:t xml:space="preserve">Citizen Legislative Initiative — distinct from the referendum, the initiative allows citizens to propose legislation directly. 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863"/>
      </w:pPr>
      <w:r>
        <w:rPr>
          <w:rFonts w:ascii="Courier New" w:cs="Courier New" w:eastAsia="Courier New" w:hAnsi="Courier New"/>
          <w:b/>
          <w:bCs/>
          <w:color w:val="1B2A4A"/>
          <w:sz w:val="18"/>
          <w:szCs w:val="18"/>
        </w:rPr>
        <w:t xml:space="preserve">§11.2.b  </w:t>
      </w:r>
      <w:r>
        <w:rPr>
          <w:rFonts w:ascii="Garamond" w:cs="Garamond" w:eastAsia="Garamond" w:hAnsi="Garamond"/>
          <w:b/>
          <w:bCs/>
          <w:color w:val="1B2A4A"/>
          <w:sz w:val="22"/>
          <w:szCs w:val="22"/>
        </w:rPr>
        <w:t xml:space="preserve">Local Government</w:t>
      </w:r>
    </w:p>
    <w:p>
      <w:pPr>
        <w:spacing w:after="120" w:before="0"/>
        <w:ind w:left="863"/>
        <w:jc w:val="both"/>
      </w:pPr>
      <w:r>
        <w:rPr>
          <w:rFonts w:ascii="Garamond" w:cs="Garamond" w:eastAsia="Garamond" w:hAnsi="Garamond"/>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XII — Military Authorization</w:t>
      </w:r>
    </w:p>
    <w:p>
      <w:pPr>
        <w:spacing w:after="120"/>
      </w:pPr>
    </w:p>
    <w:p>
      <w:pPr>
        <w:spacing w:after="60" w:before="200"/>
        <w:ind w:left="431"/>
      </w:pPr>
      <w:r>
        <w:rPr>
          <w:rFonts w:ascii="Courier New" w:cs="Courier New" w:eastAsia="Courier New" w:hAnsi="Courier New"/>
          <w:b/>
          <w:bCs/>
          <w:color w:val="1B2A4A"/>
          <w:sz w:val="18"/>
          <w:szCs w:val="18"/>
        </w:rPr>
        <w:t xml:space="preserve">§12.1  </w:t>
      </w:r>
      <w:r>
        <w:rPr>
          <w:rFonts w:ascii="Garamond" w:cs="Garamond" w:eastAsia="Garamond" w:hAnsi="Garamond"/>
          <w:b/>
          <w:bCs/>
          <w:color w:val="1B2A4A"/>
          <w:sz w:val="22"/>
          <w:szCs w:val="22"/>
        </w:rPr>
        <w:t xml:space="preserve">Authorized Purposes for Military Force</w:t>
      </w:r>
    </w:p>
    <w:p>
      <w:pPr>
        <w:spacing w:after="120" w:before="0"/>
        <w:ind w:left="431"/>
        <w:jc w:val="both"/>
      </w:pPr>
      <w:r>
        <w:rPr>
          <w:rFonts w:ascii="Garamond" w:cs="Garamond" w:eastAsia="Garamond" w:hAnsi="Garamond"/>
          <w:color w:val="2a2520"/>
          <w:sz w:val="22"/>
          <w:szCs w:val="22"/>
        </w:rPr>
        <w:t xml:space="preserve">Authorized Purposes for Military Force — 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pPr>
      <w:r>
        <w:rPr>
          <w:rFonts w:ascii="Courier New" w:cs="Courier New" w:eastAsia="Courier New" w:hAnsi="Courier New"/>
          <w:b/>
          <w:bCs/>
          <w:color w:val="1B2A4A"/>
          <w:sz w:val="18"/>
          <w:szCs w:val="18"/>
        </w:rPr>
        <w:t xml:space="preserve">§12.2  </w:t>
      </w:r>
      <w:r>
        <w:rPr>
          <w:rFonts w:ascii="Garamond" w:cs="Garamond" w:eastAsia="Garamond" w:hAnsi="Garamond"/>
          <w:b/>
          <w:bCs/>
          <w:color w:val="1B2A4A"/>
          <w:sz w:val="22"/>
          <w:szCs w:val="22"/>
        </w:rPr>
        <w:t xml:space="preserve">Legislative Declaration of Defense</w:t>
      </w:r>
    </w:p>
    <w:p>
      <w:pPr>
        <w:spacing w:after="120" w:before="0"/>
        <w:ind w:left="431"/>
        <w:jc w:val="both"/>
      </w:pPr>
      <w:r>
        <w:rPr>
          <w:rFonts w:ascii="Garamond" w:cs="Garamond" w:eastAsia="Garamond" w:hAnsi="Garamond"/>
          <w:color w:val="2a2520"/>
          <w:sz w:val="22"/>
          <w:szCs w:val="22"/>
        </w:rPr>
        <w:t xml:space="preserve">Emergency Defense Allocation —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863"/>
      </w:pPr>
      <w:r>
        <w:rPr>
          <w:rFonts w:ascii="Courier New" w:cs="Courier New" w:eastAsia="Courier New" w:hAnsi="Courier New"/>
          <w:b/>
          <w:bCs/>
          <w:color w:val="1B2A4A"/>
          <w:sz w:val="18"/>
          <w:szCs w:val="18"/>
        </w:rPr>
        <w:t xml:space="preserve">§12.2.a  </w:t>
      </w:r>
      <w:r>
        <w:rPr>
          <w:rFonts w:ascii="Garamond" w:cs="Garamond" w:eastAsia="Garamond" w:hAnsi="Garamond"/>
          <w:b/>
          <w:bCs/>
          <w:color w:val="1B2A4A"/>
          <w:sz w:val="22"/>
          <w:szCs w:val="22"/>
        </w:rPr>
        <w:t xml:space="preserve">Legislative Declaration of Defense</w:t>
      </w:r>
    </w:p>
    <w:p>
      <w:pPr>
        <w:spacing w:after="120" w:before="0"/>
        <w:ind w:left="863"/>
        <w:jc w:val="both"/>
      </w:pPr>
      <w:r>
        <w:rPr>
          <w:rFonts w:ascii="Garamond" w:cs="Garamond" w:eastAsia="Garamond" w:hAnsi="Garamond"/>
          <w:color w:val="2a2520"/>
          <w:sz w:val="22"/>
          <w:szCs w:val="22"/>
        </w:rPr>
        <w:t xml:space="preserve">Allocation Categories — 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863"/>
      </w:pPr>
      <w:r>
        <w:rPr>
          <w:rFonts w:ascii="Courier New" w:cs="Courier New" w:eastAsia="Courier New" w:hAnsi="Courier New"/>
          <w:b/>
          <w:bCs/>
          <w:color w:val="1B2A4A"/>
          <w:sz w:val="18"/>
          <w:szCs w:val="18"/>
        </w:rPr>
        <w:t xml:space="preserve">§12.2.b  </w:t>
      </w:r>
      <w:r>
        <w:rPr>
          <w:rFonts w:ascii="Garamond" w:cs="Garamond" w:eastAsia="Garamond" w:hAnsi="Garamond"/>
          <w:b/>
          <w:bCs/>
          <w:color w:val="1B2A4A"/>
          <w:sz w:val="22"/>
          <w:szCs w:val="22"/>
        </w:rPr>
        <w:t xml:space="preserve">Five-Year Maximum</w:t>
      </w:r>
    </w:p>
    <w:p>
      <w:pPr>
        <w:spacing w:after="120" w:before="0"/>
        <w:ind w:left="863"/>
        <w:jc w:val="both"/>
      </w:pPr>
      <w:r>
        <w:rPr>
          <w:rFonts w:ascii="Garamond" w:cs="Garamond" w:eastAsia="Garamond" w:hAnsi="Garamond"/>
          <w:color w:val="2a2520"/>
          <w:sz w:val="22"/>
          <w:szCs w:val="22"/>
        </w:rPr>
        <w:t xml:space="preserve">Allocation Renewal — 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863"/>
      </w:pPr>
      <w:r>
        <w:rPr>
          <w:rFonts w:ascii="Courier New" w:cs="Courier New" w:eastAsia="Courier New" w:hAnsi="Courier New"/>
          <w:b/>
          <w:bCs/>
          <w:color w:val="1B2A4A"/>
          <w:sz w:val="18"/>
          <w:szCs w:val="18"/>
        </w:rPr>
        <w:t xml:space="preserve">§12.2.c  </w:t>
      </w:r>
      <w:r>
        <w:rPr>
          <w:rFonts w:ascii="Garamond" w:cs="Garamond" w:eastAsia="Garamond" w:hAnsi="Garamond"/>
          <w:b/>
          <w:bCs/>
          <w:color w:val="1B2A4A"/>
          <w:sz w:val="22"/>
          <w:szCs w:val="22"/>
        </w:rPr>
        <w:t xml:space="preserve">Successive Declaration Standard</w:t>
      </w:r>
    </w:p>
    <w:p>
      <w:pPr>
        <w:spacing w:after="120" w:before="0"/>
        <w:ind w:left="863"/>
        <w:jc w:val="both"/>
      </w:pPr>
      <w:r>
        <w:rPr>
          <w:rFonts w:ascii="Garamond" w:cs="Garamond" w:eastAsia="Garamond" w:hAnsi="Garamond"/>
          <w:color w:val="2a2520"/>
          <w:sz w:val="22"/>
          <w:szCs w:val="22"/>
        </w:rPr>
        <w:t xml:space="preserve">Allocation Termination — 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w:t>
      </w:r>
    </w:p>
    <w:p>
      <w:pPr>
        <w:spacing w:after="60" w:before="200"/>
        <w:ind w:left="863"/>
      </w:pPr>
      <w:r>
        <w:rPr>
          <w:rFonts w:ascii="Courier New" w:cs="Courier New" w:eastAsia="Courier New" w:hAnsi="Courier New"/>
          <w:b/>
          <w:bCs/>
          <w:color w:val="1B2A4A"/>
          <w:sz w:val="18"/>
          <w:szCs w:val="18"/>
        </w:rPr>
        <w:t xml:space="preserve">§12.2.d  </w:t>
      </w:r>
      <w:r>
        <w:rPr>
          <w:rFonts w:ascii="Garamond" w:cs="Garamond" w:eastAsia="Garamond" w:hAnsi="Garamond"/>
          <w:b/>
          <w:bCs/>
          <w:color w:val="1B2A4A"/>
          <w:sz w:val="22"/>
          <w:szCs w:val="22"/>
        </w:rPr>
        <w:t xml:space="preserve">Senate Armed Services Committee</w:t>
      </w:r>
    </w:p>
    <w:p>
      <w:pPr>
        <w:spacing w:after="120" w:before="0"/>
        <w:ind w:left="863"/>
        <w:jc w:val="both"/>
      </w:pPr>
      <w:r>
        <w:rPr>
          <w:rFonts w:ascii="Garamond" w:cs="Garamond" w:eastAsia="Garamond" w:hAnsi="Garamond"/>
          <w:color w:val="2a2520"/>
          <w:sz w:val="22"/>
          <w:szCs w:val="22"/>
        </w:rPr>
        <w:t xml:space="preserve">Oversight of Allocation — 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863"/>
      </w:pPr>
      <w:r>
        <w:rPr>
          <w:rFonts w:ascii="Courier New" w:cs="Courier New" w:eastAsia="Courier New" w:hAnsi="Courier New"/>
          <w:b/>
          <w:bCs/>
          <w:color w:val="1B2A4A"/>
          <w:sz w:val="18"/>
          <w:szCs w:val="18"/>
        </w:rPr>
        <w:t xml:space="preserve">§12.2.e  </w:t>
      </w:r>
      <w:r>
        <w:rPr>
          <w:rFonts w:ascii="Garamond" w:cs="Garamond" w:eastAsia="Garamond" w:hAnsi="Garamond"/>
          <w:b/>
          <w:bCs/>
          <w:color w:val="1B2A4A"/>
          <w:sz w:val="22"/>
          <w:szCs w:val="22"/>
        </w:rPr>
        <w:t xml:space="preserve">Military Authority During Presidential Succession Vacuum</w:t>
      </w:r>
    </w:p>
    <w:p>
      <w:pPr>
        <w:spacing w:after="120" w:before="0"/>
        <w:ind w:left="863"/>
        <w:jc w:val="both"/>
      </w:pPr>
      <w:r>
        <w:rPr>
          <w:rFonts w:ascii="Garamond" w:cs="Garamond" w:eastAsia="Garamond" w:hAnsi="Garamond"/>
          <w:color w:val="2a2520"/>
          <w:sz w:val="22"/>
          <w:szCs w:val="22"/>
        </w:rPr>
        <w:t xml:space="preserve">Post-Allocation Accountability — 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pPr>
      <w:r>
        <w:rPr>
          <w:rFonts w:ascii="Courier New" w:cs="Courier New" w:eastAsia="Courier New" w:hAnsi="Courier New"/>
          <w:b/>
          <w:bCs/>
          <w:color w:val="1B2A4A"/>
          <w:sz w:val="18"/>
          <w:szCs w:val="18"/>
        </w:rPr>
        <w:t xml:space="preserve">§12.3  </w:t>
      </w:r>
      <w:r>
        <w:rPr>
          <w:rFonts w:ascii="Garamond" w:cs="Garamond" w:eastAsia="Garamond" w:hAnsi="Garamond"/>
          <w:b/>
          <w:bCs/>
          <w:color w:val="1B2A4A"/>
          <w:sz w:val="22"/>
          <w:szCs w:val="22"/>
        </w:rPr>
        <w:t xml:space="preserve">Intelligence Firewall</w:t>
      </w:r>
    </w:p>
    <w:p>
      <w:pPr>
        <w:spacing w:after="120" w:before="0"/>
        <w:ind w:left="431"/>
        <w:jc w:val="both"/>
      </w:pPr>
      <w:r>
        <w:rPr>
          <w:rFonts w:ascii="Garamond" w:cs="Garamond" w:eastAsia="Garamond" w:hAnsi="Garamond"/>
          <w:color w:val="2a2520"/>
          <w:sz w:val="22"/>
          <w:szCs w:val="22"/>
        </w:rPr>
        <w:t xml:space="preserve">Defense Intelligence — the use of intelligence capabilities in support of authorized military operations. The §1.29.d Intelligence Firewall applies at all times — no military operation authorizes domestic intelligence collection against citizens. Intelligence activities must be published to the NRS in classified summary form within 90 days of operation completion.</w:t>
      </w:r>
    </w:p>
    <w:p>
      <w:pPr>
        <w:spacing w:after="60" w:before="200"/>
        <w:ind w:left="431"/>
      </w:pPr>
      <w:r>
        <w:rPr>
          <w:rFonts w:ascii="Courier New" w:cs="Courier New" w:eastAsia="Courier New" w:hAnsi="Courier New"/>
          <w:b/>
          <w:bCs/>
          <w:color w:val="1B2A4A"/>
          <w:sz w:val="18"/>
          <w:szCs w:val="18"/>
        </w:rPr>
        <w:t xml:space="preserve">§12.4  </w:t>
      </w:r>
      <w:r>
        <w:rPr>
          <w:rFonts w:ascii="Garamond" w:cs="Garamond" w:eastAsia="Garamond" w:hAnsi="Garamond"/>
          <w:b/>
          <w:bCs/>
          <w:color w:val="1B2A4A"/>
          <w:sz w:val="22"/>
          <w:szCs w:val="22"/>
        </w:rPr>
        <w:t xml:space="preserve">Military Accountability</w:t>
      </w:r>
    </w:p>
    <w:p>
      <w:pPr>
        <w:spacing w:after="120" w:before="0"/>
        <w:ind w:left="431"/>
        <w:jc w:val="both"/>
      </w:pPr>
      <w:r>
        <w:rPr>
          <w:rFonts w:ascii="Garamond" w:cs="Garamond" w:eastAsia="Garamond" w:hAnsi="Garamond"/>
          <w:color w:val="2a2520"/>
          <w:sz w:val="22"/>
          <w:szCs w:val="22"/>
        </w:rPr>
        <w:t xml:space="preserve">Post-Conflict Obligations — before any extended military engagement concludes,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w:t>
      </w:r>
    </w:p>
    <w:p>
      <w:pPr>
        <w:spacing w:after="60" w:before="200"/>
        <w:ind w:left="863"/>
      </w:pPr>
      <w:r>
        <w:rPr>
          <w:rFonts w:ascii="Courier New" w:cs="Courier New" w:eastAsia="Courier New" w:hAnsi="Courier New"/>
          <w:b/>
          <w:bCs/>
          <w:color w:val="1B2A4A"/>
          <w:sz w:val="18"/>
          <w:szCs w:val="18"/>
        </w:rPr>
        <w:t xml:space="preserve">§12.5.a  </w:t>
      </w:r>
      <w:r>
        <w:rPr>
          <w:rFonts w:ascii="Garamond" w:cs="Garamond" w:eastAsia="Garamond" w:hAnsi="Garamond"/>
          <w:b/>
          <w:bCs/>
          <w:color w:val="1B2A4A"/>
          <w:sz w:val="22"/>
          <w:szCs w:val="22"/>
        </w:rPr>
        <w:t xml:space="preserve">Treaty Emergency Certification</w:t>
      </w:r>
    </w:p>
    <w:p>
      <w:pPr>
        <w:spacing w:after="120" w:before="0"/>
        <w:ind w:left="863"/>
        <w:jc w:val="both"/>
      </w:pPr>
      <w:r>
        <w:rPr>
          <w:rFonts w:ascii="Garamond" w:cs="Garamond" w:eastAsia="Garamond" w:hAnsi="Garamond"/>
          <w:color w:val="2a2520"/>
          <w:sz w:val="22"/>
          <w:szCs w:val="22"/>
        </w:rPr>
        <w:t xml:space="preserve">Treaty Emergency Certification — 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863"/>
      </w:pPr>
      <w:r>
        <w:rPr>
          <w:rFonts w:ascii="Courier New" w:cs="Courier New" w:eastAsia="Courier New" w:hAnsi="Courier New"/>
          <w:b/>
          <w:bCs/>
          <w:color w:val="1B2A4A"/>
          <w:sz w:val="18"/>
          <w:szCs w:val="18"/>
        </w:rPr>
        <w:t xml:space="preserve">§12.5.c  </w:t>
      </w:r>
      <w:r>
        <w:rPr>
          <w:rFonts w:ascii="Garamond" w:cs="Garamond" w:eastAsia="Garamond" w:hAnsi="Garamond"/>
          <w:b/>
          <w:bCs/>
          <w:color w:val="1B2A4A"/>
          <w:sz w:val="22"/>
          <w:szCs w:val="22"/>
        </w:rPr>
        <w:t xml:space="preserve">No Blank Check</w:t>
      </w:r>
    </w:p>
    <w:p>
      <w:pPr>
        <w:spacing w:after="120" w:before="0"/>
        <w:ind w:left="863"/>
        <w:jc w:val="both"/>
      </w:pPr>
      <w:r>
        <w:rPr>
          <w:rFonts w:ascii="Garamond" w:cs="Garamond" w:eastAsia="Garamond" w:hAnsi="Garamond"/>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for extended military commitment — each sustained engagement requires parliamentary authorization regardless of what the treaty says.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XIII — Statehood and Territory</w:t>
      </w:r>
    </w:p>
    <w:p>
      <w:pPr>
        <w:spacing w:after="120"/>
      </w:pPr>
    </w:p>
    <w:p>
      <w:pPr>
        <w:spacing w:after="60" w:before="200"/>
        <w:ind w:left="431"/>
      </w:pPr>
      <w:r>
        <w:rPr>
          <w:rFonts w:ascii="Courier New" w:cs="Courier New" w:eastAsia="Courier New" w:hAnsi="Courier New"/>
          <w:b/>
          <w:bCs/>
          <w:color w:val="1B2A4A"/>
          <w:sz w:val="18"/>
          <w:szCs w:val="18"/>
        </w:rPr>
        <w:t xml:space="preserve">§13.1  </w:t>
      </w:r>
      <w:r>
        <w:rPr>
          <w:rFonts w:ascii="Garamond" w:cs="Garamond" w:eastAsia="Garamond" w:hAnsi="Garamond"/>
          <w:b/>
          <w:bCs/>
          <w:color w:val="1B2A4A"/>
          <w:sz w:val="22"/>
          <w:szCs w:val="22"/>
        </w:rPr>
        <w:t xml:space="preserve">Territorial Compact</w:t>
      </w:r>
    </w:p>
    <w:p>
      <w:pPr>
        <w:spacing w:after="120" w:before="0"/>
        <w:ind w:left="431"/>
        <w:jc w:val="both"/>
      </w:pPr>
      <w:r>
        <w:rPr>
          <w:rFonts w:ascii="Garamond" w:cs="Garamond" w:eastAsia="Garamond" w:hAnsi="Garamond"/>
          <w:color w:val="2a2520"/>
          <w:sz w:val="22"/>
          <w:szCs w:val="22"/>
        </w:rPr>
        <w:t xml:space="preserve">Territorial Status — the foundational category for non-State jurisdictions within the Republic. A Territory operates under a Territorial Compact, has federal protections under Article I, receives BNF benefits, and may begin the Statehood pathway under §13.2. Territories are represented in the House by non-voting delegates who may participate in debate and committee work.</w:t>
      </w:r>
    </w:p>
    <w:p>
      <w:pPr>
        <w:spacing w:after="60" w:before="200"/>
        <w:ind w:left="431"/>
      </w:pPr>
      <w:r>
        <w:rPr>
          <w:rFonts w:ascii="Courier New" w:cs="Courier New" w:eastAsia="Courier New" w:hAnsi="Courier New"/>
          <w:b/>
          <w:bCs/>
          <w:color w:val="1B2A4A"/>
          <w:sz w:val="18"/>
          <w:szCs w:val="18"/>
        </w:rPr>
        <w:t xml:space="preserve">§13.2  </w:t>
      </w:r>
      <w:r>
        <w:rPr>
          <w:rFonts w:ascii="Garamond" w:cs="Garamond" w:eastAsia="Garamond" w:hAnsi="Garamond"/>
          <w:b/>
          <w:bCs/>
          <w:color w:val="1B2A4A"/>
          <w:sz w:val="22"/>
          <w:szCs w:val="22"/>
        </w:rPr>
        <w:t xml:space="preserve">The Statehood Audit</w:t>
      </w:r>
    </w:p>
    <w:p>
      <w:pPr>
        <w:spacing w:after="120" w:before="0"/>
        <w:ind w:left="431"/>
        <w:jc w:val="both"/>
      </w:pPr>
      <w:r>
        <w:rPr>
          <w:rFonts w:ascii="Garamond" w:cs="Garamond" w:eastAsia="Garamond" w:hAnsi="Garamond"/>
          <w:color w:val="2a2520"/>
          <w:sz w:val="22"/>
          <w:szCs w:val="22"/>
        </w:rPr>
        <w:t xml:space="preserve">Requirements for Statehood — the pathway from Territory to State is automatic upon successfully completing the Statehood Audit and Provisional Membership Period. No political vote in Congress is required once the audit is passed — statehood is a constitutional entitlement for any Territory that meets the criteria, not a political grant.</w:t>
      </w:r>
    </w:p>
    <w:p>
      <w:pPr>
        <w:spacing w:after="60" w:before="200"/>
        <w:ind w:left="863"/>
      </w:pPr>
      <w:r>
        <w:rPr>
          <w:rFonts w:ascii="Courier New" w:cs="Courier New" w:eastAsia="Courier New" w:hAnsi="Courier New"/>
          <w:b/>
          <w:bCs/>
          <w:color w:val="1B2A4A"/>
          <w:sz w:val="18"/>
          <w:szCs w:val="18"/>
        </w:rPr>
        <w:t xml:space="preserve">§13.2.a  </w:t>
      </w:r>
      <w:r>
        <w:rPr>
          <w:rFonts w:ascii="Garamond" w:cs="Garamond" w:eastAsia="Garamond" w:hAnsi="Garamond"/>
          <w:b/>
          <w:bCs/>
          <w:color w:val="1B2A4A"/>
          <w:sz w:val="22"/>
          <w:szCs w:val="22"/>
        </w:rPr>
        <w:t xml:space="preserve">Fiscal Integrity</w:t>
      </w:r>
    </w:p>
    <w:p>
      <w:pPr>
        <w:spacing w:after="120" w:before="0"/>
        <w:ind w:left="863"/>
        <w:jc w:val="both"/>
      </w:pPr>
      <w:r>
        <w:rPr>
          <w:rFonts w:ascii="Garamond" w:cs="Garamond" w:eastAsia="Garamond" w:hAnsi="Garamond"/>
          <w:color w:val="2a2520"/>
          <w:sz w:val="22"/>
          <w:szCs w:val="22"/>
        </w:rPr>
        <w:t xml:space="preserve">Statehood Audit — Fiscal Integrity Criterion. The LI audits the territory's government finances for basic fiscal sustainability, absence of structural insolvency that would require federal bailout, and basic public financial management standards. The audit checks whether the territory can function as a financially independent State — not whether its fiscal policy is optimal.</w:t>
      </w:r>
    </w:p>
    <w:p>
      <w:pPr>
        <w:spacing w:after="60" w:before="200"/>
        <w:ind w:left="863"/>
      </w:pPr>
      <w:r>
        <w:rPr>
          <w:rFonts w:ascii="Courier New" w:cs="Courier New" w:eastAsia="Courier New" w:hAnsi="Courier New"/>
          <w:b/>
          <w:bCs/>
          <w:color w:val="1B2A4A"/>
          <w:sz w:val="18"/>
          <w:szCs w:val="18"/>
        </w:rPr>
        <w:t xml:space="preserve">§13.2.b  </w:t>
      </w:r>
      <w:r>
        <w:rPr>
          <w:rFonts w:ascii="Garamond" w:cs="Garamond" w:eastAsia="Garamond" w:hAnsi="Garamond"/>
          <w:b/>
          <w:bCs/>
          <w:color w:val="1B2A4A"/>
          <w:sz w:val="22"/>
          <w:szCs w:val="22"/>
        </w:rPr>
        <w:t xml:space="preserve">Legal Sync</w:t>
      </w:r>
    </w:p>
    <w:p>
      <w:pPr>
        <w:spacing w:after="120" w:before="0"/>
        <w:ind w:left="863"/>
        <w:jc w:val="both"/>
      </w:pPr>
      <w:r>
        <w:rPr>
          <w:rFonts w:ascii="Garamond" w:cs="Garamond" w:eastAsia="Garamond" w:hAnsi="Garamond"/>
          <w:color w:val="2a2520"/>
          <w:sz w:val="22"/>
          <w:szCs w:val="22"/>
        </w:rPr>
        <w:t xml:space="preserve">Statehood Audit — Article I Legal Compliance Criterion. The JI audits the territory's legal system for compliance with every Article I right. Statehood is not granted to jurisdictions that are constitutionally non-compliant — a territory that applies Article I rights inconsistently cannot become a State while those violations persist.</w:t>
      </w:r>
    </w:p>
    <w:p>
      <w:pPr>
        <w:spacing w:after="60" w:before="200"/>
        <w:ind w:left="863"/>
      </w:pPr>
      <w:r>
        <w:rPr>
          <w:rFonts w:ascii="Courier New" w:cs="Courier New" w:eastAsia="Courier New" w:hAnsi="Courier New"/>
          <w:b/>
          <w:bCs/>
          <w:color w:val="1B2A4A"/>
          <w:sz w:val="18"/>
          <w:szCs w:val="18"/>
        </w:rPr>
        <w:t xml:space="preserve">§13.2.c  </w:t>
      </w:r>
      <w:r>
        <w:rPr>
          <w:rFonts w:ascii="Garamond" w:cs="Garamond" w:eastAsia="Garamond" w:hAnsi="Garamond"/>
          <w:b/>
          <w:bCs/>
          <w:color w:val="1B2A4A"/>
          <w:sz w:val="22"/>
          <w:szCs w:val="22"/>
        </w:rPr>
        <w:t xml:space="preserve">The Provisional Membership Period</w:t>
      </w:r>
    </w:p>
    <w:p>
      <w:pPr>
        <w:spacing w:after="120" w:before="0"/>
        <w:ind w:left="863"/>
        <w:jc w:val="both"/>
      </w:pPr>
      <w:r>
        <w:rPr>
          <w:rFonts w:ascii="Garamond" w:cs="Garamond" w:eastAsia="Garamond" w:hAnsi="Garamond"/>
          <w:color w:val="2a2520"/>
          <w:sz w:val="22"/>
          <w:szCs w:val="22"/>
        </w:rPr>
        <w:t xml:space="preserve">Provisional Membership Period — upon passing the Statehood Audit, the territory enters a Provisional Membership Period of between 365 and 900 days (Legislature defines by statute). Clean completion results in automatic Statehood — no further action required.</w:t>
      </w:r>
    </w:p>
    <w:p>
      <w:pPr>
        <w:spacing w:after="60" w:before="200"/>
        <w:ind w:left="863"/>
      </w:pPr>
      <w:r>
        <w:rPr>
          <w:rFonts w:ascii="Courier New" w:cs="Courier New" w:eastAsia="Courier New" w:hAnsi="Courier New"/>
          <w:b/>
          <w:bCs/>
          <w:color w:val="1B2A4A"/>
          <w:sz w:val="18"/>
          <w:szCs w:val="18"/>
        </w:rPr>
        <w:t xml:space="preserve">§13.2.d  </w:t>
      </w:r>
      <w:r>
        <w:rPr>
          <w:rFonts w:ascii="Garamond" w:cs="Garamond" w:eastAsia="Garamond" w:hAnsi="Garamond"/>
          <w:b/>
          <w:bCs/>
          <w:color w:val="1B2A4A"/>
          <w:sz w:val="22"/>
          <w:szCs w:val="22"/>
        </w:rPr>
        <w:t xml:space="preserve">Partial Territory Statehood</w:t>
      </w:r>
    </w:p>
    <w:p>
      <w:pPr>
        <w:spacing w:after="120" w:before="0"/>
        <w:ind w:left="863"/>
        <w:jc w:val="both"/>
      </w:pPr>
      <w:r>
        <w:rPr>
          <w:rFonts w:ascii="Garamond" w:cs="Garamond" w:eastAsia="Garamond" w:hAnsi="Garamond"/>
          <w:color w:val="2a2520"/>
          <w:sz w:val="22"/>
          <w:szCs w:val="22"/>
        </w:rPr>
        <w:t xml:space="preserve">Partial Territory Statehood — 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863"/>
      </w:pPr>
      <w:r>
        <w:rPr>
          <w:rFonts w:ascii="Courier New" w:cs="Courier New" w:eastAsia="Courier New" w:hAnsi="Courier New"/>
          <w:b/>
          <w:bCs/>
          <w:color w:val="1B2A4A"/>
          <w:sz w:val="18"/>
          <w:szCs w:val="18"/>
        </w:rPr>
        <w:t xml:space="preserve">§13.2.e  </w:t>
      </w:r>
      <w:r>
        <w:rPr>
          <w:rFonts w:ascii="Garamond" w:cs="Garamond" w:eastAsia="Garamond" w:hAnsi="Garamond"/>
          <w:b/>
          <w:bCs/>
          <w:color w:val="1B2A4A"/>
          <w:sz w:val="22"/>
          <w:szCs w:val="22"/>
        </w:rPr>
        <w:t xml:space="preserve">Minimum Democratic Legitimacy</w:t>
      </w:r>
    </w:p>
    <w:p>
      <w:pPr>
        <w:spacing w:after="120" w:before="0"/>
        <w:ind w:left="863"/>
        <w:jc w:val="both"/>
      </w:pPr>
      <w:r>
        <w:rPr>
          <w:rFonts w:ascii="Garamond" w:cs="Garamond" w:eastAsia="Garamond" w:hAnsi="Garamond"/>
          <w:color w:val="2a2520"/>
          <w:sz w:val="22"/>
          <w:szCs w:val="22"/>
        </w:rPr>
        <w:t xml:space="preserve">Minimum Democratic Legitimacy — every State must maintain three ongoing conditions: functioning electoral processes under Article XVI, basic rule of law and judicial function, and Article I rights compliance. Annual Statehood Audit verifies continued compliance. A State that fails receives Early Warning under §13.3.b — it enters a remediation process, not automatic devolution.</w:t>
      </w:r>
    </w:p>
    <w:p>
      <w:pPr>
        <w:spacing w:after="60" w:before="200"/>
        <w:ind w:left="863"/>
      </w:pPr>
      <w:r>
        <w:rPr>
          <w:rFonts w:ascii="Courier New" w:cs="Courier New" w:eastAsia="Courier New" w:hAnsi="Courier New"/>
          <w:b/>
          <w:bCs/>
          <w:color w:val="1B2A4A"/>
          <w:sz w:val="18"/>
          <w:szCs w:val="18"/>
        </w:rPr>
        <w:t xml:space="preserve">§13.2.f  </w:t>
      </w:r>
      <w:r>
        <w:rPr>
          <w:rFonts w:ascii="Garamond" w:cs="Garamond" w:eastAsia="Garamond" w:hAnsi="Garamond"/>
          <w:b/>
          <w:bCs/>
          <w:color w:val="1B2A4A"/>
          <w:sz w:val="22"/>
          <w:szCs w:val="22"/>
        </w:rPr>
        <w:t xml:space="preserve">Territorial Minimum Institutional Floor</w:t>
      </w:r>
    </w:p>
    <w:p>
      <w:pPr>
        <w:spacing w:after="120" w:before="0"/>
        <w:ind w:left="863"/>
        <w:jc w:val="both"/>
      </w:pPr>
      <w:r>
        <w:rPr>
          <w:rFonts w:ascii="Garamond" w:cs="Garamond" w:eastAsia="Garamond" w:hAnsi="Garamond"/>
          <w:color w:val="2a2520"/>
          <w:sz w:val="22"/>
          <w:szCs w:val="22"/>
        </w:rPr>
        <w:t xml:space="preserve">Territorial Minimum Institutional Floor — every Territory must maintain basic governance infrastructure: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863"/>
      </w:pPr>
      <w:r>
        <w:rPr>
          <w:rFonts w:ascii="Courier New" w:cs="Courier New" w:eastAsia="Courier New" w:hAnsi="Courier New"/>
          <w:b/>
          <w:bCs/>
          <w:color w:val="1B2A4A"/>
          <w:sz w:val="18"/>
          <w:szCs w:val="18"/>
        </w:rPr>
        <w:t xml:space="preserve">§13.2.g  </w:t>
      </w:r>
      <w:r>
        <w:rPr>
          <w:rFonts w:ascii="Garamond" w:cs="Garamond" w:eastAsia="Garamond" w:hAnsi="Garamond"/>
          <w:b/>
          <w:bCs/>
          <w:color w:val="1B2A4A"/>
          <w:sz w:val="22"/>
          <w:szCs w:val="22"/>
        </w:rPr>
        <w:t xml:space="preserve">Conflict-Affected State Provisional Status</w:t>
      </w:r>
    </w:p>
    <w:p>
      <w:pPr>
        <w:spacing w:after="120" w:before="0"/>
        <w:ind w:left="863"/>
        <w:jc w:val="both"/>
      </w:pPr>
      <w:r>
        <w:rPr>
          <w:rFonts w:ascii="Garamond" w:cs="Garamond" w:eastAsia="Garamond" w:hAnsi="Garamond"/>
          <w:color w:val="2a2520"/>
          <w:sz w:val="22"/>
          <w:szCs w:val="22"/>
        </w:rPr>
        <w:t xml:space="preserve">Conflict-Affected State Provisional Status — where active conflict prevents completion of the annual Statehood Audit in a significant portion (&gt;25% population) of a State's territory, the LI may grant provisional status for that audit cycle. Preserves State constitutional standing and BNF protections. Cannot be used where the conflict is attributable to the State government's own governance failures (§13.2.g.i).</w:t>
      </w:r>
    </w:p>
    <w:p>
      <w:pPr>
        <w:spacing w:after="60" w:before="200"/>
        <w:ind w:left="431"/>
      </w:pPr>
      <w:r>
        <w:rPr>
          <w:rFonts w:ascii="Courier New" w:cs="Courier New" w:eastAsia="Courier New" w:hAnsi="Courier New"/>
          <w:b/>
          <w:bCs/>
          <w:color w:val="1B2A4A"/>
          <w:sz w:val="18"/>
          <w:szCs w:val="18"/>
        </w:rPr>
        <w:t xml:space="preserve">§13.3  </w:t>
      </w:r>
      <w:r>
        <w:rPr>
          <w:rFonts w:ascii="Garamond" w:cs="Garamond" w:eastAsia="Garamond" w:hAnsi="Garamond"/>
          <w:b/>
          <w:bCs/>
          <w:color w:val="1B2A4A"/>
          <w:sz w:val="22"/>
          <w:szCs w:val="22"/>
        </w:rPr>
        <w:t xml:space="preserve">Mandatory Devolution</w:t>
      </w:r>
    </w:p>
    <w:p>
      <w:pPr>
        <w:spacing w:after="120" w:before="0"/>
        <w:ind w:left="431"/>
        <w:jc w:val="both"/>
      </w:pPr>
      <w:r>
        <w:rPr>
          <w:rFonts w:ascii="Garamond" w:cs="Garamond" w:eastAsia="Garamond" w:hAnsi="Garamond"/>
          <w:color w:val="2a2520"/>
          <w:sz w:val="22"/>
          <w:szCs w:val="22"/>
        </w:rPr>
        <w:t xml:space="preserve">Mandatory State Devolution — the remedial process for States that have failed to meet minimum governance standards over a sustained period. Not punishment — a constitutional alternative to indefinite dysfunction. The path back to full Statehood is always available. Devolution restructures the State's relationship with the federal government while preserving its constitutional status.</w:t>
      </w:r>
    </w:p>
    <w:p>
      <w:pPr>
        <w:spacing w:after="60" w:before="200"/>
        <w:ind w:left="863"/>
      </w:pPr>
      <w:r>
        <w:rPr>
          <w:rFonts w:ascii="Courier New" w:cs="Courier New" w:eastAsia="Courier New" w:hAnsi="Courier New"/>
          <w:b/>
          <w:bCs/>
          <w:color w:val="1B2A4A"/>
          <w:sz w:val="18"/>
          <w:szCs w:val="18"/>
        </w:rPr>
        <w:t xml:space="preserve">§13.3.a  </w:t>
      </w:r>
      <w:r>
        <w:rPr>
          <w:rFonts w:ascii="Garamond" w:cs="Garamond" w:eastAsia="Garamond" w:hAnsi="Garamond"/>
          <w:b/>
          <w:bCs/>
          <w:color w:val="1B2A4A"/>
          <w:sz w:val="22"/>
          <w:szCs w:val="22"/>
        </w:rPr>
        <w:t xml:space="preserve">Devolution Triggers</w:t>
      </w:r>
    </w:p>
    <w:p>
      <w:pPr>
        <w:spacing w:after="120" w:before="0"/>
        <w:ind w:left="863"/>
        <w:jc w:val="both"/>
      </w:pPr>
      <w:r>
        <w:rPr>
          <w:rFonts w:ascii="Garamond" w:cs="Garamond" w:eastAsia="Garamond" w:hAnsi="Garamond"/>
          <w:color w:val="2a2520"/>
          <w:sz w:val="22"/>
          <w:szCs w:val="22"/>
        </w:rPr>
        <w:t xml:space="preserve">Devolution Triggers — a State enters Mandatory Devolution if it fails three consecutive annual Statehood Audits after passing through the Early Warning (Year 1-2) and Devolution Vote (Year 3) stages without correction. The LI certifies the trigger; the EI and JI jointly confirm; the SC reviews the factual basis.</w:t>
      </w:r>
    </w:p>
    <w:p>
      <w:pPr>
        <w:spacing w:after="60" w:before="200"/>
        <w:ind w:left="863"/>
      </w:pPr>
      <w:r>
        <w:rPr>
          <w:rFonts w:ascii="Courier New" w:cs="Courier New" w:eastAsia="Courier New" w:hAnsi="Courier New"/>
          <w:b/>
          <w:bCs/>
          <w:color w:val="1B2A4A"/>
          <w:sz w:val="18"/>
          <w:szCs w:val="18"/>
        </w:rPr>
        <w:t xml:space="preserve">§13.3.b  </w:t>
      </w:r>
      <w:r>
        <w:rPr>
          <w:rFonts w:ascii="Garamond" w:cs="Garamond" w:eastAsia="Garamond" w:hAnsi="Garamond"/>
          <w:b/>
          <w:bCs/>
          <w:color w:val="1B2A4A"/>
          <w:sz w:val="22"/>
          <w:szCs w:val="22"/>
        </w:rPr>
        <w:t xml:space="preserve">Early Warning — Years 1 and 2</w:t>
      </w:r>
    </w:p>
    <w:p>
      <w:pPr>
        <w:spacing w:after="120" w:before="0"/>
        <w:ind w:left="863"/>
        <w:jc w:val="both"/>
      </w:pPr>
      <w:r>
        <w:rPr>
          <w:rFonts w:ascii="Garamond" w:cs="Garamond" w:eastAsia="Garamond" w:hAnsi="Garamond"/>
          <w:color w:val="2a2520"/>
          <w:sz w:val="22"/>
          <w:szCs w:val="22"/>
        </w:rPr>
        <w:t xml:space="preserve">Early Warning — Year 1 and 2 audit failures trigger Early Warning: the LI publishes specific compliance requirements, the State submits a Remediation Plan within 60 days, and the LI monitors implementation quarterly. A cooperative remediation process — the federal government assists the State in correcting identified failures rather than immediately proceeding to devolution.</w:t>
      </w:r>
    </w:p>
    <w:p>
      <w:pPr>
        <w:spacing w:after="60" w:before="200"/>
        <w:ind w:left="863"/>
      </w:pPr>
      <w:r>
        <w:rPr>
          <w:rFonts w:ascii="Courier New" w:cs="Courier New" w:eastAsia="Courier New" w:hAnsi="Courier New"/>
          <w:b/>
          <w:bCs/>
          <w:color w:val="1B2A4A"/>
          <w:sz w:val="18"/>
          <w:szCs w:val="18"/>
        </w:rPr>
        <w:t xml:space="preserve">§13.3.c  </w:t>
      </w:r>
      <w:r>
        <w:rPr>
          <w:rFonts w:ascii="Garamond" w:cs="Garamond" w:eastAsia="Garamond" w:hAnsi="Garamond"/>
          <w:b/>
          <w:bCs/>
          <w:color w:val="1B2A4A"/>
          <w:sz w:val="22"/>
          <w:szCs w:val="22"/>
        </w:rPr>
        <w:t xml:space="preserve">Devolution Vote — Year 3</w:t>
      </w:r>
    </w:p>
    <w:p>
      <w:pPr>
        <w:spacing w:after="120" w:before="0"/>
        <w:ind w:left="863"/>
        <w:jc w:val="both"/>
      </w:pPr>
      <w:r>
        <w:rPr>
          <w:rFonts w:ascii="Garamond" w:cs="Garamond" w:eastAsia="Garamond" w:hAnsi="Garamond"/>
          <w:color w:val="2a2520"/>
          <w:sz w:val="22"/>
          <w:szCs w:val="22"/>
        </w:rPr>
        <w:t xml:space="preserve">Devolution Vote — Year 3 failure triggers a State-level referendum: citizens vote on whether to proceed to devolution or accept a federal remediation commission. If the State chooses the remediation commission, devolution is suspended for 2 years. If devolution is chosen or the commission fails, §13.3.d applies.</w:t>
      </w:r>
    </w:p>
    <w:p>
      <w:pPr>
        <w:spacing w:after="60" w:before="200"/>
        <w:ind w:left="863"/>
      </w:pPr>
      <w:r>
        <w:rPr>
          <w:rFonts w:ascii="Courier New" w:cs="Courier New" w:eastAsia="Courier New" w:hAnsi="Courier New"/>
          <w:b/>
          <w:bCs/>
          <w:color w:val="1B2A4A"/>
          <w:sz w:val="18"/>
          <w:szCs w:val="18"/>
        </w:rPr>
        <w:t xml:space="preserve">§13.3.d  </w:t>
      </w:r>
      <w:r>
        <w:rPr>
          <w:rFonts w:ascii="Garamond" w:cs="Garamond" w:eastAsia="Garamond" w:hAnsi="Garamond"/>
          <w:b/>
          <w:bCs/>
          <w:color w:val="1B2A4A"/>
          <w:sz w:val="22"/>
          <w:szCs w:val="22"/>
        </w:rPr>
        <w:t xml:space="preserve">Effect of Mandatory Devolution</w:t>
      </w:r>
    </w:p>
    <w:p>
      <w:pPr>
        <w:spacing w:after="120" w:before="0"/>
        <w:ind w:left="863"/>
        <w:jc w:val="both"/>
      </w:pPr>
      <w:r>
        <w:rPr>
          <w:rFonts w:ascii="Garamond" w:cs="Garamond" w:eastAsia="Garamond" w:hAnsi="Garamond"/>
          <w:color w:val="2a2520"/>
          <w:sz w:val="22"/>
          <w:szCs w:val="22"/>
        </w:rPr>
        <w:t xml:space="preserve">Effect of Mandatory Devolution — the devolving State's territory is restructured: subdivided, merged with adjacent States or Territories, or maintained as a Territory under federal administration pending re-qualification. Citizens retain all Article I rights throughout. BNF benefits continue without interruption. The State's constitutional status is suspended, not terminated — the path to re-qualification is always open.</w:t>
      </w:r>
    </w:p>
    <w:p>
      <w:pPr>
        <w:spacing w:after="60" w:before="200"/>
        <w:ind w:left="863"/>
      </w:pPr>
      <w:r>
        <w:rPr>
          <w:rFonts w:ascii="Courier New" w:cs="Courier New" w:eastAsia="Courier New" w:hAnsi="Courier New"/>
          <w:b/>
          <w:bCs/>
          <w:color w:val="1B2A4A"/>
          <w:sz w:val="18"/>
          <w:szCs w:val="18"/>
        </w:rPr>
        <w:t xml:space="preserve">§13.3.e  </w:t>
      </w:r>
      <w:r>
        <w:rPr>
          <w:rFonts w:ascii="Garamond" w:cs="Garamond" w:eastAsia="Garamond" w:hAnsi="Garamond"/>
          <w:b/>
          <w:bCs/>
          <w:color w:val="1B2A4A"/>
          <w:sz w:val="22"/>
          <w:szCs w:val="22"/>
        </w:rPr>
        <w:t xml:space="preserve">Constitutional Challenge to Devolution</w:t>
      </w:r>
    </w:p>
    <w:p>
      <w:pPr>
        <w:spacing w:after="120" w:before="0"/>
        <w:ind w:left="863"/>
        <w:jc w:val="both"/>
      </w:pPr>
      <w:r>
        <w:rPr>
          <w:rFonts w:ascii="Garamond" w:cs="Garamond" w:eastAsia="Garamond" w:hAnsi="Garamond"/>
          <w:color w:val="2a2520"/>
          <w:sz w:val="22"/>
          <w:szCs w:val="22"/>
        </w:rPr>
        <w:t xml:space="preserve">Re-Qualification Pathway — a devolving jurisdiction may re-qualify for Statehood by completing the full Statehood process under §13.2 from territorial status. No minimum waiting period before beginning re-qualification. The process is the same as the initial Statehood process — the jurisdiction must meet all criteria afresh.</w:t>
      </w:r>
    </w:p>
    <w:p>
      <w:pPr>
        <w:spacing w:after="60" w:before="200"/>
        <w:ind w:left="431"/>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Voluntary Devolution</w:t>
      </w:r>
    </w:p>
    <w:p>
      <w:pPr>
        <w:spacing w:after="120" w:before="0"/>
        <w:ind w:left="431"/>
        <w:jc w:val="both"/>
      </w:pPr>
      <w:r>
        <w:rPr>
          <w:rFonts w:ascii="Garamond" w:cs="Garamond" w:eastAsia="Garamond" w:hAnsi="Garamond"/>
          <w:color w:val="2a2520"/>
          <w:sz w:val="22"/>
          <w:szCs w:val="22"/>
        </w:rPr>
        <w:t xml:space="preserve">Voluntary State Devolution — a State may voluntarily seek to restructure its relationship with the Republic. Requires a State referendum (60% of voters), a negotiated restructuring agreement approved by the Senate, and a Transition Plan published to the NRS. The voluntary path preserves far more State agency than mandatory devolution.</w:t>
      </w:r>
    </w:p>
    <w:p>
      <w:pPr>
        <w:spacing w:after="60" w:before="200"/>
        <w:ind w:left="863"/>
      </w:pPr>
      <w:r>
        <w:rPr>
          <w:rFonts w:ascii="Courier New" w:cs="Courier New" w:eastAsia="Courier New" w:hAnsi="Courier New"/>
          <w:b/>
          <w:bCs/>
          <w:color w:val="1B2A4A"/>
          <w:sz w:val="18"/>
          <w:szCs w:val="18"/>
        </w:rPr>
        <w:t xml:space="preserve">§13.4.a  </w:t>
      </w:r>
      <w:r>
        <w:rPr>
          <w:rFonts w:ascii="Garamond" w:cs="Garamond" w:eastAsia="Garamond" w:hAnsi="Garamond"/>
          <w:b/>
          <w:bCs/>
          <w:color w:val="1B2A4A"/>
          <w:sz w:val="22"/>
          <w:szCs w:val="22"/>
        </w:rPr>
        <w:t xml:space="preserve">Voluntary Devolution Vote</w:t>
      </w:r>
    </w:p>
    <w:p>
      <w:pPr>
        <w:spacing w:after="120" w:before="0"/>
        <w:ind w:left="863"/>
        <w:jc w:val="both"/>
      </w:pPr>
      <w:r>
        <w:rPr>
          <w:rFonts w:ascii="Garamond" w:cs="Garamond" w:eastAsia="Garamond" w:hAnsi="Garamond"/>
          <w:color w:val="2a2520"/>
          <w:sz w:val="22"/>
          <w:szCs w:val="22"/>
        </w:rPr>
        <w:t xml:space="preserve">Voluntary Devolution Referendum — 60% of State voters must approve the voluntary devolution petition. The referendum must specify the proposed restructuring: subdivision, merger, conversion to Territory status, or other arrangement. Citizens vote on the specific proposal, not on abstract devolution.</w:t>
      </w:r>
    </w:p>
    <w:p>
      <w:pPr>
        <w:spacing w:after="60" w:before="200"/>
        <w:ind w:left="863"/>
      </w:pPr>
      <w:r>
        <w:rPr>
          <w:rFonts w:ascii="Courier New" w:cs="Courier New" w:eastAsia="Courier New" w:hAnsi="Courier New"/>
          <w:b/>
          <w:bCs/>
          <w:color w:val="1B2A4A"/>
          <w:sz w:val="18"/>
          <w:szCs w:val="18"/>
        </w:rPr>
        <w:t xml:space="preserve">§13.4.b  </w:t>
      </w:r>
      <w:r>
        <w:rPr>
          <w:rFonts w:ascii="Garamond" w:cs="Garamond" w:eastAsia="Garamond" w:hAnsi="Garamond"/>
          <w:b/>
          <w:bCs/>
          <w:color w:val="1B2A4A"/>
          <w:sz w:val="22"/>
          <w:szCs w:val="22"/>
        </w:rPr>
        <w:t xml:space="preserve">Fiscal Transparency Requirement</w:t>
      </w:r>
    </w:p>
    <w:p>
      <w:pPr>
        <w:spacing w:after="120" w:before="0"/>
        <w:ind w:left="863"/>
        <w:jc w:val="both"/>
      </w:pPr>
      <w:r>
        <w:rPr>
          <w:rFonts w:ascii="Garamond" w:cs="Garamond" w:eastAsia="Garamond" w:hAnsi="Garamond"/>
          <w:color w:val="2a2520"/>
          <w:sz w:val="22"/>
          <w:szCs w:val="22"/>
        </w:rPr>
        <w:t xml:space="preserve">Negotiated Restructuring Agreement — following a successful referendum, the State and the federal government negotiate restructuring terms: asset and liability allocation, transition timeline, continuing federal obligations, and constitutional status of successor jurisdictions. Senate approval by 2/3 majority. Published to the NRS and legally binding.</w:t>
      </w:r>
    </w:p>
    <w:p>
      <w:pPr>
        <w:spacing w:after="60" w:before="200"/>
        <w:ind w:left="863"/>
      </w:pPr>
      <w:r>
        <w:rPr>
          <w:rFonts w:ascii="Courier New" w:cs="Courier New" w:eastAsia="Courier New" w:hAnsi="Courier New"/>
          <w:b/>
          <w:bCs/>
          <w:color w:val="1B2A4A"/>
          <w:sz w:val="18"/>
          <w:szCs w:val="18"/>
        </w:rPr>
        <w:t xml:space="preserve">§13.4.c  </w:t>
      </w:r>
      <w:r>
        <w:rPr>
          <w:rFonts w:ascii="Garamond" w:cs="Garamond" w:eastAsia="Garamond" w:hAnsi="Garamond"/>
          <w:b/>
          <w:bCs/>
          <w:color w:val="1B2A4A"/>
          <w:sz w:val="22"/>
          <w:szCs w:val="22"/>
        </w:rPr>
        <w:t xml:space="preserve">Net-Contributor Transparency</w:t>
      </w:r>
    </w:p>
    <w:p>
      <w:pPr>
        <w:spacing w:after="120" w:before="0"/>
        <w:ind w:left="863"/>
        <w:jc w:val="both"/>
      </w:pPr>
      <w:r>
        <w:rPr>
          <w:rFonts w:ascii="Garamond" w:cs="Garamond" w:eastAsia="Garamond" w:hAnsi="Garamond"/>
          <w:color w:val="2a2520"/>
          <w:sz w:val="22"/>
          <w:szCs w:val="22"/>
        </w:rPr>
        <w:t xml:space="preserve">Transition Plan — specifies which functions transfer and when, how citizen rights are maintained during transition, and what happens if transition encounters implementation problems. The LI monitors Transition Plan implementation and publishes quarterly compliance reports.</w:t>
      </w:r>
    </w:p>
    <w:p>
      <w:pPr>
        <w:spacing w:after="60" w:before="200"/>
        <w:ind w:left="863"/>
      </w:pPr>
      <w:r>
        <w:rPr>
          <w:rFonts w:ascii="Courier New" w:cs="Courier New" w:eastAsia="Courier New" w:hAnsi="Courier New"/>
          <w:b/>
          <w:bCs/>
          <w:color w:val="1B2A4A"/>
          <w:sz w:val="18"/>
          <w:szCs w:val="18"/>
        </w:rPr>
        <w:t xml:space="preserve">§13.4.d  </w:t>
      </w:r>
      <w:r>
        <w:rPr>
          <w:rFonts w:ascii="Garamond" w:cs="Garamond" w:eastAsia="Garamond" w:hAnsi="Garamond"/>
          <w:b/>
          <w:bCs/>
          <w:color w:val="1B2A4A"/>
          <w:sz w:val="22"/>
          <w:szCs w:val="22"/>
        </w:rPr>
        <w:t xml:space="preserve">Effect of Voluntary Devolution</w:t>
      </w:r>
    </w:p>
    <w:p>
      <w:pPr>
        <w:spacing w:after="120" w:before="0"/>
        <w:ind w:left="863"/>
        <w:jc w:val="both"/>
      </w:pPr>
      <w:r>
        <w:rPr>
          <w:rFonts w:ascii="Garamond" w:cs="Garamond" w:eastAsia="Garamond" w:hAnsi="Garamond"/>
          <w:color w:val="2a2520"/>
          <w:sz w:val="22"/>
          <w:szCs w:val="22"/>
        </w:rPr>
        <w:t xml:space="preserve">Post-Devolution Status — following voluntary devolution, successor jurisdiction(s) begin their constitutional status from the starting point specified in the restructuring agreement. A subdivision that becomes a Territory enters the Statehood pathway immediately.</w:t>
      </w:r>
    </w:p>
    <w:p>
      <w:pPr>
        <w:spacing w:after="60" w:before="200"/>
        <w:ind w:left="863"/>
      </w:pPr>
      <w:r>
        <w:rPr>
          <w:rFonts w:ascii="Courier New" w:cs="Courier New" w:eastAsia="Courier New" w:hAnsi="Courier New"/>
          <w:b/>
          <w:bCs/>
          <w:color w:val="1B2A4A"/>
          <w:sz w:val="18"/>
          <w:szCs w:val="18"/>
        </w:rPr>
        <w:t xml:space="preserve">§13.4.e  </w:t>
      </w:r>
      <w:r>
        <w:rPr>
          <w:rFonts w:ascii="Garamond" w:cs="Garamond" w:eastAsia="Garamond" w:hAnsi="Garamond"/>
          <w:b/>
          <w:bCs/>
          <w:color w:val="1B2A4A"/>
          <w:sz w:val="22"/>
          <w:szCs w:val="22"/>
        </w:rPr>
        <w:t xml:space="preserve">Negotiated Devolution Pathway</w:t>
      </w:r>
    </w:p>
    <w:p>
      <w:pPr>
        <w:spacing w:after="120" w:before="0"/>
        <w:ind w:left="863"/>
        <w:jc w:val="both"/>
      </w:pPr>
      <w:r>
        <w:rPr>
          <w:rFonts w:ascii="Garamond" w:cs="Garamond" w:eastAsia="Garamond" w:hAnsi="Garamond"/>
          <w:color w:val="2a2520"/>
          <w:sz w:val="22"/>
          <w:szCs w:val="22"/>
        </w:rPr>
        <w:t xml:space="preserve">Voluntary Devolution and BNF — during any voluntary devolution process, BNF benefits continue without interruption. The Transition Plan must specify how BNF delivery continues during the transition. BNF continuity is non-negotiable in the restructuring agreement.</w:t>
      </w:r>
    </w:p>
    <w:p>
      <w:pPr>
        <w:spacing w:after="60" w:before="200"/>
        <w:ind w:left="431"/>
      </w:pPr>
      <w:r>
        <w:rPr>
          <w:rFonts w:ascii="Courier New" w:cs="Courier New" w:eastAsia="Courier New" w:hAnsi="Courier New"/>
          <w:b/>
          <w:bCs/>
          <w:color w:val="1B2A4A"/>
          <w:sz w:val="18"/>
          <w:szCs w:val="18"/>
        </w:rPr>
        <w:t xml:space="preserve">§13.6  </w:t>
      </w:r>
      <w:r>
        <w:rPr>
          <w:rFonts w:ascii="Garamond" w:cs="Garamond" w:eastAsia="Garamond" w:hAnsi="Garamond"/>
          <w:b/>
          <w:bCs/>
          <w:color w:val="1B2A4A"/>
          <w:sz w:val="22"/>
          <w:szCs w:val="22"/>
        </w:rPr>
        <w:t xml:space="preserve">Voluntary Incorporation</w:t>
      </w:r>
    </w:p>
    <w:p>
      <w:pPr>
        <w:spacing w:after="120" w:before="0"/>
        <w:ind w:left="431"/>
        <w:jc w:val="both"/>
      </w:pPr>
      <w:r>
        <w:rPr>
          <w:rFonts w:ascii="Garamond" w:cs="Garamond" w:eastAsia="Garamond" w:hAnsi="Garamond"/>
          <w:color w:val="2a2520"/>
          <w:sz w:val="22"/>
          <w:szCs w:val="22"/>
        </w:rPr>
        <w:t xml:space="preserve">A devolved State loses its Senate seats on the date the Devolution Motion passes. It retains House seats proportional to population. Federal law continues to apply. The State government continues as territorial administration under federal oversight. All effects are published to the NRS the moment the Motion passes.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XIV — Indigenous Sovereignty</w:t>
      </w:r>
    </w:p>
    <w:p>
      <w:pPr>
        <w:spacing w:after="120"/>
      </w:pPr>
    </w:p>
    <w:p>
      <w:pPr>
        <w:spacing w:after="60" w:before="200"/>
        <w:ind w:left="431"/>
      </w:pPr>
      <w:r>
        <w:rPr>
          <w:rFonts w:ascii="Courier New" w:cs="Courier New" w:eastAsia="Courier New" w:hAnsi="Courier New"/>
          <w:b/>
          <w:bCs/>
          <w:color w:val="1B2A4A"/>
          <w:sz w:val="18"/>
          <w:szCs w:val="18"/>
        </w:rPr>
        <w:t xml:space="preserve">§14.1  </w:t>
      </w:r>
      <w:r>
        <w:rPr>
          <w:rFonts w:ascii="Garamond" w:cs="Garamond" w:eastAsia="Garamond" w:hAnsi="Garamond"/>
          <w:b/>
          <w:bCs/>
          <w:color w:val="1B2A4A"/>
          <w:sz w:val="22"/>
          <w:szCs w:val="22"/>
        </w:rPr>
        <w:t xml:space="preserve">Acknowledgment of Prior Sovereignty</w:t>
      </w:r>
    </w:p>
    <w:p>
      <w:pPr>
        <w:spacing w:after="120" w:before="0"/>
        <w:ind w:left="431"/>
        <w:jc w:val="both"/>
      </w:pPr>
      <w:r>
        <w:rPr>
          <w:rFonts w:ascii="Garamond" w:cs="Garamond" w:eastAsia="Garamond" w:hAnsi="Garamond"/>
          <w:color w:val="2a2520"/>
          <w:sz w:val="22"/>
          <w:szCs w:val="22"/>
        </w:rPr>
        <w:t xml:space="preserve">Indigenous Nation Compact — 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pPr>
      <w:r>
        <w:rPr>
          <w:rFonts w:ascii="Courier New" w:cs="Courier New" w:eastAsia="Courier New" w:hAnsi="Courier New"/>
          <w:b/>
          <w:bCs/>
          <w:color w:val="1B2A4A"/>
          <w:sz w:val="18"/>
          <w:szCs w:val="18"/>
        </w:rPr>
        <w:t xml:space="preserve">§14.2  </w:t>
      </w:r>
      <w:r>
        <w:rPr>
          <w:rFonts w:ascii="Garamond" w:cs="Garamond" w:eastAsia="Garamond" w:hAnsi="Garamond"/>
          <w:b/>
          <w:bCs/>
          <w:color w:val="1B2A4A"/>
          <w:sz w:val="22"/>
          <w:szCs w:val="22"/>
        </w:rPr>
        <w:t xml:space="preserve">Compact Formation</w:t>
      </w:r>
    </w:p>
    <w:p>
      <w:pPr>
        <w:spacing w:after="120" w:before="0"/>
        <w:ind w:left="431"/>
        <w:jc w:val="both"/>
      </w:pPr>
      <w:r>
        <w:rPr>
          <w:rFonts w:ascii="Garamond" w:cs="Garamond" w:eastAsia="Garamond" w:hAnsi="Garamond"/>
          <w:color w:val="2a2520"/>
          <w:sz w:val="22"/>
          <w:szCs w:val="22"/>
        </w:rPr>
        <w:t xml:space="preserve">Compact Formation — an Indigenous Nation may enter a compact with the Republic by submitting a compact proposal to the Senate. The Senate must respond within 90 days. Compact terms are negotiated between the Nation and the PM's domestic affairs office, with JI oversight. Compacts take effect upon 2/3 Senate ratification and Indigenous Nation ratification by their own constitutional process.</w:t>
      </w:r>
    </w:p>
    <w:p>
      <w:pPr>
        <w:spacing w:after="60" w:before="200"/>
        <w:ind w:left="863"/>
      </w:pPr>
      <w:r>
        <w:rPr>
          <w:rFonts w:ascii="Courier New" w:cs="Courier New" w:eastAsia="Courier New" w:hAnsi="Courier New"/>
          <w:b/>
          <w:bCs/>
          <w:color w:val="1B2A4A"/>
          <w:sz w:val="18"/>
          <w:szCs w:val="18"/>
        </w:rPr>
        <w:t xml:space="preserve">§14.3.a  </w:t>
      </w:r>
      <w:r>
        <w:rPr>
          <w:rFonts w:ascii="Garamond" w:cs="Garamond" w:eastAsia="Garamond" w:hAnsi="Garamond"/>
          <w:b/>
          <w:bCs/>
          <w:color w:val="1B2A4A"/>
          <w:sz w:val="22"/>
          <w:szCs w:val="22"/>
        </w:rPr>
        <w:t xml:space="preserve">Article I Rights in Compact Territories</w:t>
      </w:r>
    </w:p>
    <w:p>
      <w:pPr>
        <w:spacing w:after="120" w:before="0"/>
        <w:ind w:left="863"/>
        <w:jc w:val="both"/>
      </w:pPr>
      <w:r>
        <w:rPr>
          <w:rFonts w:ascii="Garamond" w:cs="Garamond" w:eastAsia="Garamond" w:hAnsi="Garamond"/>
          <w:color w:val="2a2520"/>
          <w:sz w:val="22"/>
          <w:szCs w:val="22"/>
        </w:rPr>
        <w:t xml:space="preserve">Article I Rights in Compact Territories — 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863"/>
      </w:pPr>
      <w:r>
        <w:rPr>
          <w:rFonts w:ascii="Courier New" w:cs="Courier New" w:eastAsia="Courier New" w:hAnsi="Courier New"/>
          <w:b/>
          <w:bCs/>
          <w:color w:val="1B2A4A"/>
          <w:sz w:val="18"/>
          <w:szCs w:val="18"/>
        </w:rPr>
        <w:t xml:space="preserve">§14.3.b  </w:t>
      </w:r>
      <w:r>
        <w:rPr>
          <w:rFonts w:ascii="Garamond" w:cs="Garamond" w:eastAsia="Garamond" w:hAnsi="Garamond"/>
          <w:b/>
          <w:bCs/>
          <w:color w:val="1B2A4A"/>
          <w:sz w:val="22"/>
          <w:szCs w:val="22"/>
        </w:rPr>
        <w:t xml:space="preserve">Compact Judicial Authority</w:t>
      </w:r>
    </w:p>
    <w:p>
      <w:pPr>
        <w:spacing w:after="120" w:before="0"/>
        <w:ind w:left="863"/>
        <w:jc w:val="both"/>
      </w:pPr>
      <w:r>
        <w:rPr>
          <w:rFonts w:ascii="Garamond" w:cs="Garamond" w:eastAsia="Garamond" w:hAnsi="Garamond"/>
          <w:color w:val="2a2520"/>
          <w:sz w:val="22"/>
          <w:szCs w:val="22"/>
        </w:rPr>
        <w:t xml:space="preserve">Compact Judicial Authority — 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863"/>
      </w:pPr>
      <w:r>
        <w:rPr>
          <w:rFonts w:ascii="Courier New" w:cs="Courier New" w:eastAsia="Courier New" w:hAnsi="Courier New"/>
          <w:b/>
          <w:bCs/>
          <w:color w:val="1B2A4A"/>
          <w:sz w:val="18"/>
          <w:szCs w:val="18"/>
        </w:rPr>
        <w:t xml:space="preserve">§14.3.c  </w:t>
      </w:r>
      <w:r>
        <w:rPr>
          <w:rFonts w:ascii="Garamond" w:cs="Garamond" w:eastAsia="Garamond" w:hAnsi="Garamond"/>
          <w:b/>
          <w:bCs/>
          <w:color w:val="1B2A4A"/>
          <w:sz w:val="22"/>
          <w:szCs w:val="22"/>
        </w:rPr>
        <w:t xml:space="preserve">Land and Resource Sovereignty</w:t>
      </w:r>
    </w:p>
    <w:p>
      <w:pPr>
        <w:spacing w:after="120" w:before="0"/>
        <w:ind w:left="863"/>
        <w:jc w:val="both"/>
      </w:pPr>
      <w:r>
        <w:rPr>
          <w:rFonts w:ascii="Garamond" w:cs="Garamond" w:eastAsia="Garamond" w:hAnsi="Garamond"/>
          <w:color w:val="2a2520"/>
          <w:sz w:val="22"/>
          <w:szCs w:val="22"/>
        </w:rPr>
        <w:t xml:space="preserve">Land and Resource Sovereignty — 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863"/>
      </w:pPr>
      <w:r>
        <w:rPr>
          <w:rFonts w:ascii="Courier New" w:cs="Courier New" w:eastAsia="Courier New" w:hAnsi="Courier New"/>
          <w:b/>
          <w:bCs/>
          <w:color w:val="1B2A4A"/>
          <w:sz w:val="18"/>
          <w:szCs w:val="18"/>
        </w:rPr>
        <w:t xml:space="preserve">§14.3.d  </w:t>
      </w:r>
      <w:r>
        <w:rPr>
          <w:rFonts w:ascii="Garamond" w:cs="Garamond" w:eastAsia="Garamond" w:hAnsi="Garamond"/>
          <w:b/>
          <w:bCs/>
          <w:color w:val="1B2A4A"/>
          <w:sz w:val="22"/>
          <w:szCs w:val="22"/>
        </w:rPr>
        <w:t xml:space="preserve">Compact Governance Recognition</w:t>
      </w:r>
    </w:p>
    <w:p>
      <w:pPr>
        <w:spacing w:after="120" w:before="0"/>
        <w:ind w:left="863"/>
        <w:jc w:val="both"/>
      </w:pPr>
      <w:r>
        <w:rPr>
          <w:rFonts w:ascii="Garamond" w:cs="Garamond" w:eastAsia="Garamond" w:hAnsi="Garamond"/>
          <w:color w:val="2a2520"/>
          <w:sz w:val="22"/>
          <w:szCs w:val="22"/>
        </w:rPr>
        <w:t xml:space="preserve">Compact Governance Recognition — 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863"/>
      </w:pPr>
      <w:r>
        <w:rPr>
          <w:rFonts w:ascii="Courier New" w:cs="Courier New" w:eastAsia="Courier New" w:hAnsi="Courier New"/>
          <w:b/>
          <w:bCs/>
          <w:color w:val="1B2A4A"/>
          <w:sz w:val="18"/>
          <w:szCs w:val="18"/>
        </w:rPr>
        <w:t xml:space="preserve">§14.3.e  </w:t>
      </w:r>
      <w:r>
        <w:rPr>
          <w:rFonts w:ascii="Garamond" w:cs="Garamond" w:eastAsia="Garamond" w:hAnsi="Garamond"/>
          <w:b/>
          <w:bCs/>
          <w:color w:val="1B2A4A"/>
          <w:sz w:val="22"/>
          <w:szCs w:val="22"/>
        </w:rPr>
        <w:t xml:space="preserve">Compact Education and Language</w:t>
      </w:r>
    </w:p>
    <w:p>
      <w:pPr>
        <w:spacing w:after="120" w:before="0"/>
        <w:ind w:left="863"/>
        <w:jc w:val="both"/>
      </w:pPr>
      <w:r>
        <w:rPr>
          <w:rFonts w:ascii="Garamond" w:cs="Garamond" w:eastAsia="Garamond" w:hAnsi="Garamond"/>
          <w:color w:val="2a2520"/>
          <w:sz w:val="22"/>
          <w:szCs w:val="22"/>
        </w:rPr>
        <w:t xml:space="preserve">Compact Education and Language — 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863"/>
      </w:pPr>
      <w:r>
        <w:rPr>
          <w:rFonts w:ascii="Courier New" w:cs="Courier New" w:eastAsia="Courier New" w:hAnsi="Courier New"/>
          <w:b/>
          <w:bCs/>
          <w:color w:val="1B2A4A"/>
          <w:sz w:val="18"/>
          <w:szCs w:val="18"/>
        </w:rPr>
        <w:t xml:space="preserve">§14.4.a  </w:t>
      </w:r>
      <w:r>
        <w:rPr>
          <w:rFonts w:ascii="Garamond" w:cs="Garamond" w:eastAsia="Garamond" w:hAnsi="Garamond"/>
          <w:b/>
          <w:bCs/>
          <w:color w:val="1B2A4A"/>
          <w:sz w:val="22"/>
          <w:szCs w:val="22"/>
        </w:rPr>
        <w:t xml:space="preserve">Compact Dispute Resolution</w:t>
      </w:r>
    </w:p>
    <w:p>
      <w:pPr>
        <w:spacing w:after="120" w:before="0"/>
        <w:ind w:left="863"/>
        <w:jc w:val="both"/>
      </w:pPr>
      <w:r>
        <w:rPr>
          <w:rFonts w:ascii="Garamond" w:cs="Garamond" w:eastAsia="Garamond" w:hAnsi="Garamond"/>
          <w:color w:val="2a2520"/>
          <w:sz w:val="22"/>
          <w:szCs w:val="22"/>
        </w:rPr>
        <w:t xml:space="preserve">Compact Dispute Resolution — 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863"/>
      </w:pPr>
      <w:r>
        <w:rPr>
          <w:rFonts w:ascii="Courier New" w:cs="Courier New" w:eastAsia="Courier New" w:hAnsi="Courier New"/>
          <w:b/>
          <w:bCs/>
          <w:color w:val="1B2A4A"/>
          <w:sz w:val="18"/>
          <w:szCs w:val="18"/>
        </w:rPr>
        <w:t xml:space="preserve">§14.4.b  </w:t>
      </w:r>
      <w:r>
        <w:rPr>
          <w:rFonts w:ascii="Garamond" w:cs="Garamond" w:eastAsia="Garamond" w:hAnsi="Garamond"/>
          <w:b/>
          <w:bCs/>
          <w:color w:val="1B2A4A"/>
          <w:sz w:val="22"/>
          <w:szCs w:val="22"/>
        </w:rPr>
        <w:t xml:space="preserve">Compact Review Cycle</w:t>
      </w:r>
    </w:p>
    <w:p>
      <w:pPr>
        <w:spacing w:after="120" w:before="0"/>
        <w:ind w:left="863"/>
        <w:jc w:val="both"/>
      </w:pPr>
      <w:r>
        <w:rPr>
          <w:rFonts w:ascii="Garamond" w:cs="Garamond" w:eastAsia="Garamond" w:hAnsi="Garamond"/>
          <w:color w:val="2a2520"/>
          <w:sz w:val="22"/>
          <w:szCs w:val="22"/>
        </w:rPr>
        <w:t xml:space="preserve">Compact Review Cycle — 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863"/>
      </w:pPr>
      <w:r>
        <w:rPr>
          <w:rFonts w:ascii="Courier New" w:cs="Courier New" w:eastAsia="Courier New" w:hAnsi="Courier New"/>
          <w:b/>
          <w:bCs/>
          <w:color w:val="1B2A4A"/>
          <w:sz w:val="18"/>
          <w:szCs w:val="18"/>
        </w:rPr>
        <w:t xml:space="preserve">§14.4.c  </w:t>
      </w:r>
      <w:r>
        <w:rPr>
          <w:rFonts w:ascii="Garamond" w:cs="Garamond" w:eastAsia="Garamond" w:hAnsi="Garamond"/>
          <w:b/>
          <w:bCs/>
          <w:color w:val="1B2A4A"/>
          <w:sz w:val="22"/>
          <w:szCs w:val="22"/>
        </w:rPr>
        <w:t xml:space="preserve">Compact Termination</w:t>
      </w:r>
    </w:p>
    <w:p>
      <w:pPr>
        <w:spacing w:after="120" w:before="0"/>
        <w:ind w:left="863"/>
        <w:jc w:val="both"/>
      </w:pPr>
      <w:r>
        <w:rPr>
          <w:rFonts w:ascii="Garamond" w:cs="Garamond" w:eastAsia="Garamond" w:hAnsi="Garamond"/>
          <w:color w:val="2a2520"/>
          <w:sz w:val="22"/>
          <w:szCs w:val="22"/>
        </w:rPr>
        <w:t xml:space="preserve">Compact Termination — a compact may be terminated by mutual agreement only. Neither party may unilaterally terminate a compact. If the Nation seeks termination, the Republic must negotiate exit terms within 2 years. If no agreement is reached, the compact continues and the dispute is referred to the SC.</w:t>
      </w:r>
    </w:p>
    <w:p>
      <w:pPr>
        <w:spacing w:after="60" w:before="200"/>
        <w:ind w:left="863"/>
      </w:pPr>
      <w:r>
        <w:rPr>
          <w:rFonts w:ascii="Courier New" w:cs="Courier New" w:eastAsia="Courier New" w:hAnsi="Courier New"/>
          <w:b/>
          <w:bCs/>
          <w:color w:val="1B2A4A"/>
          <w:sz w:val="18"/>
          <w:szCs w:val="18"/>
        </w:rPr>
        <w:t xml:space="preserve">§14.5.a  </w:t>
      </w:r>
      <w:r>
        <w:rPr>
          <w:rFonts w:ascii="Garamond" w:cs="Garamond" w:eastAsia="Garamond" w:hAnsi="Garamond"/>
          <w:b/>
          <w:bCs/>
          <w:color w:val="1B2A4A"/>
          <w:sz w:val="22"/>
          <w:szCs w:val="22"/>
        </w:rPr>
        <w:t xml:space="preserve">Emergency Rights Writ</w:t>
      </w:r>
    </w:p>
    <w:p>
      <w:pPr>
        <w:spacing w:after="120" w:before="0"/>
        <w:ind w:left="863"/>
        <w:jc w:val="both"/>
      </w:pPr>
      <w:r>
        <w:rPr>
          <w:rFonts w:ascii="Garamond" w:cs="Garamond" w:eastAsia="Garamond" w:hAnsi="Garamond"/>
          <w:color w:val="2a2520"/>
          <w:sz w:val="22"/>
          <w:szCs w:val="22"/>
        </w:rPr>
        <w:t xml:space="preserve">Emergency Rights Writ — 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863"/>
      </w:pPr>
      <w:r>
        <w:rPr>
          <w:rFonts w:ascii="Courier New" w:cs="Courier New" w:eastAsia="Courier New" w:hAnsi="Courier New"/>
          <w:b/>
          <w:bCs/>
          <w:color w:val="1B2A4A"/>
          <w:sz w:val="18"/>
          <w:szCs w:val="18"/>
        </w:rPr>
        <w:t xml:space="preserve">§14.5.b  </w:t>
      </w:r>
      <w:r>
        <w:rPr>
          <w:rFonts w:ascii="Garamond" w:cs="Garamond" w:eastAsia="Garamond" w:hAnsi="Garamond"/>
          <w:b/>
          <w:bCs/>
          <w:color w:val="1B2A4A"/>
          <w:sz w:val="22"/>
          <w:szCs w:val="22"/>
        </w:rPr>
        <w:t xml:space="preserve">Federal Assistance Obligations</w:t>
      </w:r>
    </w:p>
    <w:p>
      <w:pPr>
        <w:spacing w:after="120" w:before="0"/>
        <w:ind w:left="863"/>
        <w:jc w:val="both"/>
      </w:pPr>
      <w:r>
        <w:rPr>
          <w:rFonts w:ascii="Garamond" w:cs="Garamond" w:eastAsia="Garamond" w:hAnsi="Garamond"/>
          <w:color w:val="2a2520"/>
          <w:sz w:val="22"/>
          <w:szCs w:val="22"/>
        </w:rPr>
        <w:t xml:space="preserve">Federal Assistance Obligations — 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863"/>
      </w:pPr>
      <w:r>
        <w:rPr>
          <w:rFonts w:ascii="Courier New" w:cs="Courier New" w:eastAsia="Courier New" w:hAnsi="Courier New"/>
          <w:b/>
          <w:bCs/>
          <w:color w:val="1B2A4A"/>
          <w:sz w:val="18"/>
          <w:szCs w:val="18"/>
        </w:rPr>
        <w:t xml:space="preserve">§14.5.c  </w:t>
      </w:r>
      <w:r>
        <w:rPr>
          <w:rFonts w:ascii="Garamond" w:cs="Garamond" w:eastAsia="Garamond" w:hAnsi="Garamond"/>
          <w:b/>
          <w:bCs/>
          <w:color w:val="1B2A4A"/>
          <w:sz w:val="22"/>
          <w:szCs w:val="22"/>
        </w:rPr>
        <w:t xml:space="preserve">New Indigenous Compact Petitions</w:t>
      </w:r>
    </w:p>
    <w:p>
      <w:pPr>
        <w:spacing w:after="120" w:before="0"/>
        <w:ind w:left="863"/>
        <w:jc w:val="both"/>
      </w:pPr>
      <w:r>
        <w:rPr>
          <w:rFonts w:ascii="Garamond" w:cs="Garamond" w:eastAsia="Garamond" w:hAnsi="Garamond"/>
          <w:color w:val="2a2520"/>
          <w:sz w:val="22"/>
          <w:szCs w:val="22"/>
        </w:rPr>
        <w:t xml:space="preserve">New Indigenous Compact Petitions — 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863"/>
      </w:pPr>
      <w:r>
        <w:rPr>
          <w:rFonts w:ascii="Courier New" w:cs="Courier New" w:eastAsia="Courier New" w:hAnsi="Courier New"/>
          <w:b/>
          <w:bCs/>
          <w:color w:val="1B2A4A"/>
          <w:sz w:val="18"/>
          <w:szCs w:val="18"/>
        </w:rPr>
        <w:t xml:space="preserve">§14.5.d  </w:t>
      </w:r>
      <w:r>
        <w:rPr>
          <w:rFonts w:ascii="Garamond" w:cs="Garamond" w:eastAsia="Garamond" w:hAnsi="Garamond"/>
          <w:b/>
          <w:bCs/>
          <w:color w:val="1B2A4A"/>
          <w:sz w:val="22"/>
          <w:szCs w:val="22"/>
        </w:rPr>
        <w:t xml:space="preserve">Compact and Citizenship</w:t>
      </w:r>
    </w:p>
    <w:p>
      <w:pPr>
        <w:spacing w:after="120" w:before="0"/>
        <w:ind w:left="863"/>
        <w:jc w:val="both"/>
      </w:pPr>
      <w:r>
        <w:rPr>
          <w:rFonts w:ascii="Garamond" w:cs="Garamond" w:eastAsia="Garamond" w:hAnsi="Garamond"/>
          <w:color w:val="2a2520"/>
          <w:sz w:val="22"/>
          <w:szCs w:val="22"/>
        </w:rPr>
        <w:t xml:space="preserve">Compact and Citizenship — 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pPr>
      <w:r>
        <w:rPr>
          <w:rFonts w:ascii="Courier New" w:cs="Courier New" w:eastAsia="Courier New" w:hAnsi="Courier New"/>
          <w:b/>
          <w:bCs/>
          <w:color w:val="1B2A4A"/>
          <w:sz w:val="18"/>
          <w:szCs w:val="18"/>
        </w:rPr>
        <w:t xml:space="preserve">§14.6  </w:t>
      </w:r>
      <w:r>
        <w:rPr>
          <w:rFonts w:ascii="Garamond" w:cs="Garamond" w:eastAsia="Garamond" w:hAnsi="Garamond"/>
          <w:b/>
          <w:bCs/>
          <w:color w:val="1B2A4A"/>
          <w:sz w:val="22"/>
          <w:szCs w:val="22"/>
        </w:rPr>
        <w:t xml:space="preserve">Treaty Supremacy and Continuity</w:t>
      </w:r>
    </w:p>
    <w:p>
      <w:pPr>
        <w:spacing w:after="120" w:before="0"/>
        <w:ind w:left="431"/>
        <w:jc w:val="both"/>
      </w:pPr>
      <w:r>
        <w:rPr>
          <w:rFonts w:ascii="Garamond" w:cs="Garamond" w:eastAsia="Garamond" w:hAnsi="Garamond"/>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through the FPIC framework.</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 — Constitutional Amendment</w:t>
      </w:r>
    </w:p>
    <w:p>
      <w:pPr>
        <w:spacing w:after="120"/>
      </w:pPr>
    </w:p>
    <w:p>
      <w:pPr>
        <w:spacing w:after="60" w:before="200"/>
        <w:ind w:left="431"/>
      </w:pPr>
      <w:r>
        <w:rPr>
          <w:rFonts w:ascii="Courier New" w:cs="Courier New" w:eastAsia="Courier New" w:hAnsi="Courier New"/>
          <w:b/>
          <w:bCs/>
          <w:color w:val="1B2A4A"/>
          <w:sz w:val="18"/>
          <w:szCs w:val="18"/>
        </w:rPr>
        <w:t xml:space="preserve">§15.1  </w:t>
      </w:r>
      <w:r>
        <w:rPr>
          <w:rFonts w:ascii="Garamond" w:cs="Garamond" w:eastAsia="Garamond" w:hAnsi="Garamond"/>
          <w:b/>
          <w:bCs/>
          <w:color w:val="1B2A4A"/>
          <w:sz w:val="22"/>
          <w:szCs w:val="22"/>
        </w:rPr>
        <w:t xml:space="preserve">Three Amendment Paths</w:t>
      </w:r>
    </w:p>
    <w:p>
      <w:pPr>
        <w:spacing w:after="120" w:before="0"/>
        <w:ind w:left="431"/>
        <w:jc w:val="both"/>
      </w:pPr>
      <w:r>
        <w:rPr>
          <w:rFonts w:ascii="Garamond" w:cs="Garamond" w:eastAsia="Garamond" w:hAnsi="Garamond"/>
          <w:color w:val="2a2520"/>
          <w:sz w:val="22"/>
          <w:szCs w:val="22"/>
        </w:rPr>
        <w:t xml:space="preserve">The Three Amendment Paths — 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863"/>
      </w:pPr>
      <w:r>
        <w:rPr>
          <w:rFonts w:ascii="Courier New" w:cs="Courier New" w:eastAsia="Courier New" w:hAnsi="Courier New"/>
          <w:b/>
          <w:bCs/>
          <w:color w:val="1B2A4A"/>
          <w:sz w:val="18"/>
          <w:szCs w:val="18"/>
        </w:rPr>
        <w:t xml:space="preserve">§15.1.a  </w:t>
      </w:r>
      <w:r>
        <w:rPr>
          <w:rFonts w:ascii="Garamond" w:cs="Garamond" w:eastAsia="Garamond" w:hAnsi="Garamond"/>
          <w:b/>
          <w:bCs/>
          <w:color w:val="1B2A4A"/>
          <w:sz w:val="22"/>
          <w:szCs w:val="22"/>
        </w:rPr>
        <w:t xml:space="preserve">Parliamentary Path</w:t>
      </w:r>
    </w:p>
    <w:p>
      <w:pPr>
        <w:spacing w:after="120" w:before="0"/>
        <w:ind w:left="863"/>
        <w:jc w:val="both"/>
      </w:pPr>
      <w:r>
        <w:rPr>
          <w:rFonts w:ascii="Garamond" w:cs="Garamond" w:eastAsia="Garamond" w:hAnsi="Garamond"/>
          <w:color w:val="2a2520"/>
          <w:sz w:val="22"/>
          <w:szCs w:val="22"/>
        </w:rPr>
        <w:t xml:space="preserve">Path A — Legislative Amendment. 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863"/>
      </w:pPr>
      <w:r>
        <w:rPr>
          <w:rFonts w:ascii="Courier New" w:cs="Courier New" w:eastAsia="Courier New" w:hAnsi="Courier New"/>
          <w:b/>
          <w:bCs/>
          <w:color w:val="1B2A4A"/>
          <w:sz w:val="18"/>
          <w:szCs w:val="18"/>
        </w:rPr>
        <w:t xml:space="preserve">§15.1.b  </w:t>
      </w:r>
      <w:r>
        <w:rPr>
          <w:rFonts w:ascii="Garamond" w:cs="Garamond" w:eastAsia="Garamond" w:hAnsi="Garamond"/>
          <w:b/>
          <w:bCs/>
          <w:color w:val="1B2A4A"/>
          <w:sz w:val="22"/>
          <w:szCs w:val="22"/>
        </w:rPr>
        <w:t xml:space="preserve">Parliamentary and Popular Path</w:t>
      </w:r>
    </w:p>
    <w:p>
      <w:pPr>
        <w:spacing w:after="120" w:before="0"/>
        <w:ind w:left="863"/>
        <w:jc w:val="both"/>
      </w:pPr>
      <w:r>
        <w:rPr>
          <w:rFonts w:ascii="Garamond" w:cs="Garamond" w:eastAsia="Garamond" w:hAnsi="Garamond"/>
          <w:color w:val="2a2520"/>
          <w:sz w:val="22"/>
          <w:szCs w:val="22"/>
        </w:rPr>
        <w:t xml:space="preserve">Path B — Legislative and Popular Amendment. 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863"/>
      </w:pPr>
      <w:r>
        <w:rPr>
          <w:rFonts w:ascii="Courier New" w:cs="Courier New" w:eastAsia="Courier New" w:hAnsi="Courier New"/>
          <w:b/>
          <w:bCs/>
          <w:color w:val="1B2A4A"/>
          <w:sz w:val="18"/>
          <w:szCs w:val="18"/>
        </w:rPr>
        <w:t xml:space="preserve">§15.1.c  </w:t>
      </w:r>
      <w:r>
        <w:rPr>
          <w:rFonts w:ascii="Garamond" w:cs="Garamond" w:eastAsia="Garamond" w:hAnsi="Garamond"/>
          <w:b/>
          <w:bCs/>
          <w:color w:val="1B2A4A"/>
          <w:sz w:val="22"/>
          <w:szCs w:val="22"/>
        </w:rPr>
        <w:t xml:space="preserve">Citizen-Led Path</w:t>
      </w:r>
    </w:p>
    <w:p>
      <w:pPr>
        <w:spacing w:after="120" w:before="0"/>
        <w:ind w:left="863"/>
        <w:jc w:val="both"/>
      </w:pPr>
      <w:r>
        <w:rPr>
          <w:rFonts w:ascii="Garamond" w:cs="Garamond" w:eastAsia="Garamond" w:hAnsi="Garamond"/>
          <w:color w:val="2a2520"/>
          <w:sz w:val="22"/>
          <w:szCs w:val="22"/>
        </w:rPr>
        <w:t xml:space="preserve">Path C — 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pPr>
      <w:r>
        <w:rPr>
          <w:rFonts w:ascii="Courier New" w:cs="Courier New" w:eastAsia="Courier New" w:hAnsi="Courier New"/>
          <w:b/>
          <w:bCs/>
          <w:color w:val="1B2A4A"/>
          <w:sz w:val="18"/>
          <w:szCs w:val="18"/>
        </w:rPr>
        <w:t xml:space="preserve">§15.2  </w:t>
      </w:r>
      <w:r>
        <w:rPr>
          <w:rFonts w:ascii="Garamond" w:cs="Garamond" w:eastAsia="Garamond" w:hAnsi="Garamond"/>
          <w:b/>
          <w:bCs/>
          <w:color w:val="1B2A4A"/>
          <w:sz w:val="22"/>
          <w:szCs w:val="22"/>
        </w:rPr>
        <w:t xml:space="preserve">No Executive Veto Over Amendments</w:t>
      </w:r>
    </w:p>
    <w:p>
      <w:pPr>
        <w:spacing w:after="120" w:before="0"/>
        <w:ind w:left="431"/>
        <w:jc w:val="both"/>
      </w:pPr>
      <w:r>
        <w:rPr>
          <w:rFonts w:ascii="Garamond" w:cs="Garamond" w:eastAsia="Garamond" w:hAnsi="Garamond"/>
          <w:color w:val="2a2520"/>
          <w:sz w:val="22"/>
          <w:szCs w:val="22"/>
        </w:rPr>
        <w:t xml:space="preserve">No Executive Veto of Amendments — 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863"/>
      </w:pPr>
      <w:r>
        <w:rPr>
          <w:rFonts w:ascii="Courier New" w:cs="Courier New" w:eastAsia="Courier New" w:hAnsi="Courier New"/>
          <w:b/>
          <w:bCs/>
          <w:color w:val="1B2A4A"/>
          <w:sz w:val="18"/>
          <w:szCs w:val="18"/>
        </w:rPr>
        <w:t xml:space="preserve">§15.2.a  </w:t>
      </w:r>
      <w:r>
        <w:rPr>
          <w:rFonts w:ascii="Garamond" w:cs="Garamond" w:eastAsia="Garamond" w:hAnsi="Garamond"/>
          <w:b/>
          <w:bCs/>
          <w:color w:val="1B2A4A"/>
          <w:sz w:val="22"/>
          <w:szCs w:val="22"/>
        </w:rPr>
        <w:t xml:space="preserve">No Executive Veto</w:t>
      </w:r>
    </w:p>
    <w:p>
      <w:pPr>
        <w:spacing w:after="120" w:before="0"/>
        <w:ind w:left="863"/>
        <w:jc w:val="both"/>
      </w:pPr>
      <w:r>
        <w:rPr>
          <w:rFonts w:ascii="Garamond" w:cs="Garamond" w:eastAsia="Garamond" w:hAnsi="Garamond"/>
          <w:color w:val="2a2520"/>
          <w:sz w:val="22"/>
          <w:szCs w:val="22"/>
        </w:rPr>
        <w:t xml:space="preserve">Amendment Takes Effect — an amendment takes effect immediately upon LI certification (Paths A and B) or EC certification (Path C) and NRS publication. No implementation delay, no commencement date, no executive discretion over timing.</w:t>
      </w:r>
    </w:p>
    <w:p>
      <w:pPr>
        <w:spacing w:after="60" w:before="200"/>
        <w:ind w:left="863"/>
      </w:pPr>
      <w:r>
        <w:rPr>
          <w:rFonts w:ascii="Courier New" w:cs="Courier New" w:eastAsia="Courier New" w:hAnsi="Courier New"/>
          <w:b/>
          <w:bCs/>
          <w:color w:val="1B2A4A"/>
          <w:sz w:val="18"/>
          <w:szCs w:val="18"/>
        </w:rPr>
        <w:t xml:space="preserve">§15.3.a  </w:t>
      </w:r>
      <w:r>
        <w:rPr>
          <w:rFonts w:ascii="Garamond" w:cs="Garamond" w:eastAsia="Garamond" w:hAnsi="Garamond"/>
          <w:b/>
          <w:bCs/>
          <w:color w:val="1B2A4A"/>
          <w:sz w:val="22"/>
          <w:szCs w:val="22"/>
        </w:rPr>
        <w:t xml:space="preserve">Permanently Unamendable Provisions</w:t>
      </w:r>
    </w:p>
    <w:p>
      <w:pPr>
        <w:spacing w:after="120" w:before="0"/>
        <w:ind w:left="863"/>
        <w:jc w:val="both"/>
      </w:pPr>
      <w:r>
        <w:rPr>
          <w:rFonts w:ascii="Garamond" w:cs="Garamond" w:eastAsia="Garamond" w:hAnsi="Garamond"/>
          <w:color w:val="2a2520"/>
          <w:sz w:val="22"/>
          <w:szCs w:val="22"/>
        </w:rPr>
        <w:t xml:space="preserve">The Unamendable Floor — six provisions that cannot be amended by any process: §1.2 (torture prohibition), §1.3 (slavery and forced labor), §1.13 (habeas corpus), §1.17 (public trial), §1.18 (no retroactive criminal laws), §1.27 (non-refoulement). Article I as a whole can only expand — no amendment may reduce any Article I right below its current floor. These six prohibit forms of absolute dehumanization that no democratic majority should be able to reinstate.</w:t>
      </w:r>
    </w:p>
    <w:p>
      <w:pPr>
        <w:spacing w:after="60" w:before="200"/>
        <w:ind w:left="863"/>
      </w:pPr>
      <w:r>
        <w:rPr>
          <w:rFonts w:ascii="Courier New" w:cs="Courier New" w:eastAsia="Courier New" w:hAnsi="Courier New"/>
          <w:b/>
          <w:bCs/>
          <w:color w:val="1B2A4A"/>
          <w:sz w:val="18"/>
          <w:szCs w:val="18"/>
        </w:rPr>
        <w:t xml:space="preserve">§15.4.a  </w:t>
      </w:r>
      <w:r>
        <w:rPr>
          <w:rFonts w:ascii="Garamond" w:cs="Garamond" w:eastAsia="Garamond" w:hAnsi="Garamond"/>
          <w:b/>
          <w:bCs/>
          <w:color w:val="1B2A4A"/>
          <w:sz w:val="22"/>
          <w:szCs w:val="22"/>
        </w:rPr>
        <w:t xml:space="preserve">Territorial Integrity</w:t>
      </w:r>
    </w:p>
    <w:p>
      <w:pPr>
        <w:spacing w:after="120" w:before="0"/>
        <w:ind w:left="863"/>
        <w:jc w:val="both"/>
      </w:pPr>
      <w:r>
        <w:rPr>
          <w:rFonts w:ascii="Garamond" w:cs="Garamond" w:eastAsia="Garamond" w:hAnsi="Garamond"/>
          <w:color w:val="2a2520"/>
          <w:sz w:val="22"/>
          <w:szCs w:val="22"/>
        </w:rPr>
        <w:t xml:space="preserve">Territorial Integrity — the Republic's territorial extent may only be reduced by a Path B or Path C amendment (not Path A). Expansion of territory is governed by §13.1. No executive action may alter the Republic's territorial extent.</w:t>
      </w:r>
    </w:p>
    <w:p>
      <w:pPr>
        <w:spacing w:after="60" w:before="200"/>
        <w:ind w:left="863"/>
      </w:pPr>
      <w:r>
        <w:rPr>
          <w:rFonts w:ascii="Courier New" w:cs="Courier New" w:eastAsia="Courier New" w:hAnsi="Courier New"/>
          <w:b/>
          <w:bCs/>
          <w:color w:val="1B2A4A"/>
          <w:sz w:val="18"/>
          <w:szCs w:val="18"/>
        </w:rPr>
        <w:t xml:space="preserve">§15.4.b  </w:t>
      </w:r>
      <w:r>
        <w:rPr>
          <w:rFonts w:ascii="Garamond" w:cs="Garamond" w:eastAsia="Garamond" w:hAnsi="Garamond"/>
          <w:b/>
          <w:bCs/>
          <w:color w:val="1B2A4A"/>
          <w:sz w:val="22"/>
          <w:szCs w:val="22"/>
        </w:rPr>
        <w:t xml:space="preserve">Advisory Referenda</w:t>
      </w:r>
    </w:p>
    <w:p>
      <w:pPr>
        <w:spacing w:after="120" w:before="0"/>
        <w:ind w:left="863"/>
        <w:jc w:val="both"/>
      </w:pPr>
      <w:r>
        <w:rPr>
          <w:rFonts w:ascii="Garamond" w:cs="Garamond" w:eastAsia="Garamond" w:hAnsi="Garamond"/>
          <w:color w:val="2a2520"/>
          <w:sz w:val="22"/>
          <w:szCs w:val="22"/>
        </w:rPr>
        <w:t xml:space="preserve">No Secession by Ordinary Legislation — a State may not secede from the Republic by ordinary statute or by State referendum alone. Secession requires a constitutional amendment — Path B or C — meaning a national democratic majority must consent to the departure of any State.</w:t>
      </w:r>
    </w:p>
    <w:p>
      <w:pPr>
        <w:spacing w:after="60" w:before="200"/>
        <w:ind w:left="431"/>
      </w:pPr>
      <w:r>
        <w:rPr>
          <w:rFonts w:ascii="Courier New" w:cs="Courier New" w:eastAsia="Courier New" w:hAnsi="Courier New"/>
          <w:b/>
          <w:bCs/>
          <w:color w:val="1B2A4A"/>
          <w:sz w:val="18"/>
          <w:szCs w:val="18"/>
        </w:rPr>
        <w:t xml:space="preserve">§15.5  </w:t>
      </w:r>
      <w:r>
        <w:rPr>
          <w:rFonts w:ascii="Garamond" w:cs="Garamond" w:eastAsia="Garamond" w:hAnsi="Garamond"/>
          <w:b/>
          <w:bCs/>
          <w:color w:val="1B2A4A"/>
          <w:sz w:val="22"/>
          <w:szCs w:val="22"/>
        </w:rPr>
        <w:t xml:space="preserve">Independence Transition Framework</w:t>
      </w:r>
    </w:p>
    <w:p>
      <w:pPr>
        <w:spacing w:after="120" w:before="0"/>
        <w:ind w:left="431"/>
        <w:jc w:val="both"/>
      </w:pPr>
      <w:r>
        <w:rPr>
          <w:rFonts w:ascii="Garamond" w:cs="Garamond" w:eastAsia="Garamond" w:hAnsi="Garamond"/>
          <w:color w:val="2a2520"/>
          <w:sz w:val="22"/>
          <w:szCs w:val="22"/>
        </w:rPr>
        <w:t xml:space="preserve">Amendment Consistency Requirement — 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863"/>
      </w:pPr>
      <w:r>
        <w:rPr>
          <w:rFonts w:ascii="Courier New" w:cs="Courier New" w:eastAsia="Courier New" w:hAnsi="Courier New"/>
          <w:b/>
          <w:bCs/>
          <w:color w:val="1B2A4A"/>
          <w:sz w:val="18"/>
          <w:szCs w:val="18"/>
        </w:rPr>
        <w:t xml:space="preserve">§15.5.a  </w:t>
      </w:r>
      <w:r>
        <w:rPr>
          <w:rFonts w:ascii="Garamond" w:cs="Garamond" w:eastAsia="Garamond" w:hAnsi="Garamond"/>
          <w:b/>
          <w:bCs/>
          <w:color w:val="1B2A4A"/>
          <w:sz w:val="22"/>
          <w:szCs w:val="22"/>
        </w:rPr>
        <w:t xml:space="preserve">Framework Agreement Requirement</w:t>
      </w:r>
    </w:p>
    <w:p>
      <w:pPr>
        <w:spacing w:after="120" w:before="0"/>
        <w:ind w:left="863"/>
        <w:jc w:val="both"/>
      </w:pPr>
      <w:r>
        <w:rPr>
          <w:rFonts w:ascii="Garamond" w:cs="Garamond" w:eastAsia="Garamond" w:hAnsi="Garamond"/>
          <w:color w:val="2a2520"/>
          <w:sz w:val="22"/>
          <w:szCs w:val="22"/>
        </w:rPr>
        <w:t xml:space="preserve">LI Consistency Review — 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863"/>
      </w:pPr>
      <w:r>
        <w:rPr>
          <w:rFonts w:ascii="Courier New" w:cs="Courier New" w:eastAsia="Courier New" w:hAnsi="Courier New"/>
          <w:b/>
          <w:bCs/>
          <w:color w:val="1B2A4A"/>
          <w:sz w:val="18"/>
          <w:szCs w:val="18"/>
        </w:rPr>
        <w:t xml:space="preserve">§15.5.b  </w:t>
      </w:r>
      <w:r>
        <w:rPr>
          <w:rFonts w:ascii="Garamond" w:cs="Garamond" w:eastAsia="Garamond" w:hAnsi="Garamond"/>
          <w:b/>
          <w:bCs/>
          <w:color w:val="1B2A4A"/>
          <w:sz w:val="22"/>
          <w:szCs w:val="22"/>
        </w:rPr>
        <w:t xml:space="preserve">Transition Period — 24 to 60 Months</w:t>
      </w:r>
    </w:p>
    <w:p>
      <w:pPr>
        <w:spacing w:after="120" w:before="0"/>
        <w:ind w:left="863"/>
        <w:jc w:val="both"/>
      </w:pPr>
      <w:r>
        <w:rPr>
          <w:rFonts w:ascii="Garamond" w:cs="Garamond" w:eastAsia="Garamond" w:hAnsi="Garamond"/>
          <w:color w:val="2a2520"/>
          <w:sz w:val="22"/>
          <w:szCs w:val="22"/>
        </w:rPr>
        <w:t xml:space="preserve">SC Consistency Adjudication — 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863"/>
      </w:pPr>
      <w:r>
        <w:rPr>
          <w:rFonts w:ascii="Courier New" w:cs="Courier New" w:eastAsia="Courier New" w:hAnsi="Courier New"/>
          <w:b/>
          <w:bCs/>
          <w:color w:val="1B2A4A"/>
          <w:sz w:val="18"/>
          <w:szCs w:val="18"/>
        </w:rPr>
        <w:t xml:space="preserve">§15.5.c  </w:t>
      </w:r>
      <w:r>
        <w:rPr>
          <w:rFonts w:ascii="Garamond" w:cs="Garamond" w:eastAsia="Garamond" w:hAnsi="Garamond"/>
          <w:b/>
          <w:bCs/>
          <w:color w:val="1B2A4A"/>
          <w:sz w:val="22"/>
          <w:szCs w:val="22"/>
        </w:rPr>
        <w:t xml:space="preserve">Basic Needs Floor Transition</w:t>
      </w:r>
    </w:p>
    <w:p>
      <w:pPr>
        <w:spacing w:after="120" w:before="0"/>
        <w:ind w:left="863"/>
        <w:jc w:val="both"/>
      </w:pPr>
      <w:r>
        <w:rPr>
          <w:rFonts w:ascii="Garamond" w:cs="Garamond" w:eastAsia="Garamond" w:hAnsi="Garamond"/>
          <w:color w:val="2a2520"/>
          <w:sz w:val="22"/>
          <w:szCs w:val="22"/>
        </w:rPr>
        <w:t xml:space="preserve">Retroactive Effect of Amendments — 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863"/>
      </w:pPr>
      <w:r>
        <w:rPr>
          <w:rFonts w:ascii="Courier New" w:cs="Courier New" w:eastAsia="Courier New" w:hAnsi="Courier New"/>
          <w:b/>
          <w:bCs/>
          <w:color w:val="1B2A4A"/>
          <w:sz w:val="18"/>
          <w:szCs w:val="18"/>
        </w:rPr>
        <w:t xml:space="preserve">§15.5.d  </w:t>
      </w:r>
      <w:r>
        <w:rPr>
          <w:rFonts w:ascii="Garamond" w:cs="Garamond" w:eastAsia="Garamond" w:hAnsi="Garamond"/>
          <w:b/>
          <w:bCs/>
          <w:color w:val="1B2A4A"/>
          <w:sz w:val="22"/>
          <w:szCs w:val="22"/>
        </w:rPr>
        <w:t xml:space="preserve">Executive Authority During Transition</w:t>
      </w:r>
    </w:p>
    <w:p>
      <w:pPr>
        <w:spacing w:after="120" w:before="0"/>
        <w:ind w:left="863"/>
        <w:jc w:val="both"/>
      </w:pPr>
      <w:r>
        <w:rPr>
          <w:rFonts w:ascii="Garamond" w:cs="Garamond" w:eastAsia="Garamond" w:hAnsi="Garamond"/>
          <w:color w:val="2a2520"/>
          <w:sz w:val="22"/>
          <w:szCs w:val="22"/>
        </w:rPr>
        <w:t xml:space="preserve">Simultaneous Amendments — 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863"/>
      </w:pPr>
      <w:r>
        <w:rPr>
          <w:rFonts w:ascii="Courier New" w:cs="Courier New" w:eastAsia="Courier New" w:hAnsi="Courier New"/>
          <w:b/>
          <w:bCs/>
          <w:color w:val="1B2A4A"/>
          <w:sz w:val="18"/>
          <w:szCs w:val="18"/>
        </w:rPr>
        <w:t xml:space="preserve">§15.5.e  </w:t>
      </w:r>
      <w:r>
        <w:rPr>
          <w:rFonts w:ascii="Garamond" w:cs="Garamond" w:eastAsia="Garamond" w:hAnsi="Garamond"/>
          <w:b/>
          <w:bCs/>
          <w:color w:val="1B2A4A"/>
          <w:sz w:val="22"/>
          <w:szCs w:val="22"/>
        </w:rPr>
        <w:t xml:space="preserve">Simultaneous Independence Sequencing</w:t>
      </w:r>
    </w:p>
    <w:p>
      <w:pPr>
        <w:spacing w:after="120" w:before="0"/>
        <w:ind w:left="863"/>
        <w:jc w:val="both"/>
      </w:pPr>
      <w:r>
        <w:rPr>
          <w:rFonts w:ascii="Garamond" w:cs="Garamond" w:eastAsia="Garamond" w:hAnsi="Garamond"/>
          <w:color w:val="2a2520"/>
          <w:sz w:val="22"/>
          <w:szCs w:val="22"/>
        </w:rPr>
        <w:t xml:space="preserve">Withdrawn Amendments — 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pPr>
      <w:r>
        <w:rPr>
          <w:rFonts w:ascii="Courier New" w:cs="Courier New" w:eastAsia="Courier New" w:hAnsi="Courier New"/>
          <w:b/>
          <w:bCs/>
          <w:color w:val="1B2A4A"/>
          <w:sz w:val="18"/>
          <w:szCs w:val="18"/>
        </w:rPr>
        <w:t xml:space="preserve">§15.6  </w:t>
      </w:r>
      <w:r>
        <w:rPr>
          <w:rFonts w:ascii="Garamond" w:cs="Garamond" w:eastAsia="Garamond" w:hAnsi="Garamond"/>
          <w:b/>
          <w:bCs/>
          <w:color w:val="1B2A4A"/>
          <w:sz w:val="22"/>
          <w:szCs w:val="22"/>
        </w:rPr>
        <w:t xml:space="preserve">Supremacy of This Constitution</w:t>
      </w:r>
    </w:p>
    <w:p>
      <w:pPr>
        <w:spacing w:after="120" w:before="0"/>
        <w:ind w:left="431"/>
        <w:jc w:val="both"/>
      </w:pPr>
      <w:r>
        <w:rPr>
          <w:rFonts w:ascii="Garamond" w:cs="Garamond" w:eastAsia="Garamond" w:hAnsi="Garamond"/>
          <w:color w:val="2a2520"/>
          <w:sz w:val="22"/>
          <w:szCs w:val="22"/>
        </w:rPr>
        <w:t xml:space="preserve">Constitutional Supremacy — 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 This is the foundational rule that makes all other provisions operative — it is what makes the constitution a constitution rather than a statement of principles.</w:t>
      </w:r>
    </w:p>
    <w:p>
      <w:pPr>
        <w:spacing w:after="60" w:before="200"/>
        <w:ind w:left="863"/>
      </w:pPr>
      <w:r>
        <w:rPr>
          <w:rFonts w:ascii="Courier New" w:cs="Courier New" w:eastAsia="Courier New" w:hAnsi="Courier New"/>
          <w:b/>
          <w:bCs/>
          <w:color w:val="1B2A4A"/>
          <w:sz w:val="18"/>
          <w:szCs w:val="18"/>
        </w:rPr>
        <w:t xml:space="preserve">§15.6.b  </w:t>
      </w:r>
      <w:r>
        <w:rPr>
          <w:rFonts w:ascii="Garamond" w:cs="Garamond" w:eastAsia="Garamond" w:hAnsi="Garamond"/>
          <w:b/>
          <w:bCs/>
          <w:color w:val="1B2A4A"/>
          <w:sz w:val="22"/>
          <w:szCs w:val="22"/>
        </w:rPr>
        <w:t xml:space="preserve">Federal-State Statutory Hierarchy</w:t>
      </w:r>
    </w:p>
    <w:p>
      <w:pPr>
        <w:spacing w:after="120" w:before="0"/>
        <w:ind w:left="863"/>
        <w:jc w:val="both"/>
      </w:pPr>
      <w:r>
        <w:rPr>
          <w:rFonts w:ascii="Garamond" w:cs="Garamond" w:eastAsia="Garamond" w:hAnsi="Garamond"/>
          <w:color w:val="2a2520"/>
          <w:sz w:val="22"/>
          <w:szCs w:val="22"/>
        </w:rPr>
        <w:t xml:space="preserve">Despite §10.1 applying to Republic Inhabitants, the Republic's obligations to the departing territory during the transition period must be specified in the framework agreement. Independence does not end Republic obligations to former Territory residents immediately. The transition period is a period of defined ongoing obligation.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 — The Electoral Commission</w:t>
      </w:r>
    </w:p>
    <w:p>
      <w:pPr>
        <w:spacing w:after="120"/>
      </w:pPr>
    </w:p>
    <w:p>
      <w:pPr>
        <w:spacing w:after="60" w:before="200"/>
        <w:ind w:left="431"/>
      </w:pPr>
      <w:r>
        <w:rPr>
          <w:rFonts w:ascii="Courier New" w:cs="Courier New" w:eastAsia="Courier New" w:hAnsi="Courier New"/>
          <w:b/>
          <w:bCs/>
          <w:color w:val="1B2A4A"/>
          <w:sz w:val="18"/>
          <w:szCs w:val="18"/>
        </w:rPr>
        <w:t xml:space="preserve">§16.1  </w:t>
      </w:r>
      <w:r>
        <w:rPr>
          <w:rFonts w:ascii="Garamond" w:cs="Garamond" w:eastAsia="Garamond" w:hAnsi="Garamond"/>
          <w:b/>
          <w:bCs/>
          <w:color w:val="1B2A4A"/>
          <w:sz w:val="22"/>
          <w:szCs w:val="22"/>
        </w:rPr>
        <w:t xml:space="preserve">Electoral Commission</w:t>
      </w:r>
    </w:p>
    <w:p>
      <w:pPr>
        <w:spacing w:after="120" w:before="0"/>
        <w:ind w:left="431"/>
        <w:jc w:val="both"/>
      </w:pPr>
      <w:r>
        <w:rPr>
          <w:rFonts w:ascii="Garamond" w:cs="Garamond" w:eastAsia="Garamond" w:hAnsi="Garamond"/>
          <w:color w:val="2a2520"/>
          <w:sz w:val="22"/>
          <w:szCs w:val="22"/>
        </w:rPr>
        <w:t xml:space="preserve">The Electoral Commission is a constitutionally independent body of five members elected by national ranked-choice vote on National Election Day to non-renewable six-year staggered terms. No political body nominates EC members. The EC administers all federal elections and referenda, maintains the National Voting System, enforces Article XVIII campaign finance requirements, and certifies all election results to the NRS. The EC is independent of both executives and the Legislature in the exercise of its administrative and certification functions.</w:t>
      </w:r>
    </w:p>
    <w:p>
      <w:pPr>
        <w:spacing w:after="60" w:before="200"/>
        <w:ind w:left="431"/>
      </w:pPr>
      <w:r>
        <w:rPr>
          <w:rFonts w:ascii="Courier New" w:cs="Courier New" w:eastAsia="Courier New" w:hAnsi="Courier New"/>
          <w:b/>
          <w:bCs/>
          <w:color w:val="1B2A4A"/>
          <w:sz w:val="18"/>
          <w:szCs w:val="18"/>
        </w:rPr>
        <w:t xml:space="preserve">§16.2  </w:t>
      </w:r>
      <w:r>
        <w:rPr>
          <w:rFonts w:ascii="Garamond" w:cs="Garamond" w:eastAsia="Garamond" w:hAnsi="Garamond"/>
          <w:b/>
          <w:bCs/>
          <w:color w:val="1B2A4A"/>
          <w:sz w:val="22"/>
          <w:szCs w:val="22"/>
        </w:rPr>
        <w:t xml:space="preserve">Electoral Commission Qualifications</w:t>
      </w:r>
    </w:p>
    <w:p>
      <w:pPr>
        <w:spacing w:after="120" w:before="0"/>
        <w:ind w:left="431"/>
        <w:jc w:val="both"/>
      </w:pPr>
      <w:r>
        <w:rPr>
          <w:rFonts w:ascii="Garamond" w:cs="Garamond" w:eastAsia="Garamond" w:hAnsi="Garamond"/>
          <w:color w:val="2a2520"/>
          <w:sz w:val="22"/>
          <w:szCs w:val="22"/>
        </w:rPr>
        <w:t xml:space="preserve">Electoral Commission members must meet three independently verified requirements: at least 15 years of professional expertise in elections, technology, or public administration; no current or recent partisan affiliation; and passage of the Constitutional Logic Test. The qualifications are substantive — the EC requires genuine expertise.</w:t>
      </w:r>
    </w:p>
    <w:p>
      <w:pPr>
        <w:spacing w:after="60" w:before="200"/>
        <w:ind w:left="863"/>
      </w:pPr>
      <w:r>
        <w:rPr>
          <w:rFonts w:ascii="Courier New" w:cs="Courier New" w:eastAsia="Courier New" w:hAnsi="Courier New"/>
          <w:b/>
          <w:bCs/>
          <w:color w:val="1B2A4A"/>
          <w:sz w:val="18"/>
          <w:szCs w:val="18"/>
        </w:rPr>
        <w:t xml:space="preserve">§16.2.a  </w:t>
      </w:r>
      <w:r>
        <w:rPr>
          <w:rFonts w:ascii="Garamond" w:cs="Garamond" w:eastAsia="Garamond" w:hAnsi="Garamond"/>
          <w:b/>
          <w:bCs/>
          <w:color w:val="1B2A4A"/>
          <w:sz w:val="22"/>
          <w:szCs w:val="22"/>
        </w:rPr>
        <w:t xml:space="preserve">Electoral Commission Removal</w:t>
      </w:r>
    </w:p>
    <w:p>
      <w:pPr>
        <w:spacing w:after="120" w:before="0"/>
        <w:ind w:left="863"/>
        <w:jc w:val="both"/>
      </w:pPr>
      <w:r>
        <w:rPr>
          <w:rFonts w:ascii="Garamond" w:cs="Garamond" w:eastAsia="Garamond" w:hAnsi="Garamond"/>
          <w:color w:val="2a2520"/>
          <w:sz w:val="22"/>
          <w:szCs w:val="22"/>
        </w:rPr>
        <w:t xml:space="preserve">For-cause only — no no-cause removal. EC administers all elections; no-cause removal would be a vector for electoral manipulation. Process: JI documents finding → State Designee Panel substantiates → 14-day SC appeal window expires (or SC upholds on appeal) → member suspended from all EC duties. The 180-day election proximity restriction in §16.5.c applies to the removal vote, not to Panel-triggered suspension. On legislative acquittal, member returns to full duties immediately. 2/3 both chambers for removal. Vacancy: 90-day special election, full new 6-year term. Amended v148.</w:t>
      </w:r>
    </w:p>
    <w:p>
      <w:pPr>
        <w:spacing w:after="60" w:before="200"/>
        <w:ind w:left="431"/>
      </w:pPr>
      <w:r>
        <w:rPr>
          <w:rFonts w:ascii="Courier New" w:cs="Courier New" w:eastAsia="Courier New" w:hAnsi="Courier New"/>
          <w:b/>
          <w:bCs/>
          <w:color w:val="1B2A4A"/>
          <w:sz w:val="18"/>
          <w:szCs w:val="18"/>
        </w:rPr>
        <w:t xml:space="preserve">§16.3  </w:t>
      </w:r>
      <w:r>
        <w:rPr>
          <w:rFonts w:ascii="Garamond" w:cs="Garamond" w:eastAsia="Garamond" w:hAnsi="Garamond"/>
          <w:b/>
          <w:bCs/>
          <w:color w:val="1B2A4A"/>
          <w:sz w:val="22"/>
          <w:szCs w:val="22"/>
        </w:rPr>
        <w:t xml:space="preserve">NVS Properties</w:t>
      </w:r>
    </w:p>
    <w:p>
      <w:pPr>
        <w:spacing w:after="120" w:before="0"/>
        <w:ind w:left="431"/>
        <w:jc w:val="both"/>
      </w:pPr>
      <w:r>
        <w:rPr>
          <w:rFonts w:ascii="Garamond" w:cs="Garamond" w:eastAsia="Garamond" w:hAnsi="Garamond"/>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863"/>
      </w:pPr>
      <w:r>
        <w:rPr>
          <w:rFonts w:ascii="Courier New" w:cs="Courier New" w:eastAsia="Courier New" w:hAnsi="Courier New"/>
          <w:b/>
          <w:bCs/>
          <w:color w:val="1B2A4A"/>
          <w:sz w:val="18"/>
          <w:szCs w:val="18"/>
        </w:rPr>
        <w:t xml:space="preserve">§16.3.a  </w:t>
      </w:r>
      <w:r>
        <w:rPr>
          <w:rFonts w:ascii="Garamond" w:cs="Garamond" w:eastAsia="Garamond" w:hAnsi="Garamond"/>
          <w:b/>
          <w:bCs/>
          <w:color w:val="1B2A4A"/>
          <w:sz w:val="22"/>
          <w:szCs w:val="22"/>
        </w:rPr>
        <w:t xml:space="preserve">Ballot Secrecy</w:t>
      </w:r>
    </w:p>
    <w:p>
      <w:pPr>
        <w:spacing w:after="120" w:before="0"/>
        <w:ind w:left="863"/>
        <w:jc w:val="both"/>
      </w:pPr>
      <w:r>
        <w:rPr>
          <w:rFonts w:ascii="Garamond" w:cs="Garamond" w:eastAsia="Garamond" w:hAnsi="Garamond"/>
          <w:color w:val="2a2520"/>
          <w:sz w:val="22"/>
          <w:szCs w:val="22"/>
        </w:rPr>
        <w:t xml:space="preserve">No person or institution — including Electoral Commission members — may identify how any individual citizen voted. Ballot secrecy is constitutionally absolute. The NVS must make it technically impossible to link any vote to any voter, even in post-election audits.</w:t>
      </w:r>
    </w:p>
    <w:p>
      <w:pPr>
        <w:spacing w:after="60" w:before="200"/>
        <w:ind w:left="863"/>
      </w:pPr>
      <w:r>
        <w:rPr>
          <w:rFonts w:ascii="Courier New" w:cs="Courier New" w:eastAsia="Courier New" w:hAnsi="Courier New"/>
          <w:b/>
          <w:bCs/>
          <w:color w:val="1B2A4A"/>
          <w:sz w:val="18"/>
          <w:szCs w:val="18"/>
        </w:rPr>
        <w:t xml:space="preserve">§16.3.b  </w:t>
      </w:r>
      <w:r>
        <w:rPr>
          <w:rFonts w:ascii="Garamond" w:cs="Garamond" w:eastAsia="Garamond" w:hAnsi="Garamond"/>
          <w:b/>
          <w:bCs/>
          <w:color w:val="1B2A4A"/>
          <w:sz w:val="22"/>
          <w:szCs w:val="22"/>
        </w:rPr>
        <w:t xml:space="preserve">Public Auditability</w:t>
      </w:r>
    </w:p>
    <w:p>
      <w:pPr>
        <w:spacing w:after="120" w:before="0"/>
        <w:ind w:left="863"/>
        <w:jc w:val="both"/>
      </w:pPr>
      <w:r>
        <w:rPr>
          <w:rFonts w:ascii="Garamond" w:cs="Garamond" w:eastAsia="Garamond" w:hAnsi="Garamond"/>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863"/>
      </w:pPr>
      <w:r>
        <w:rPr>
          <w:rFonts w:ascii="Courier New" w:cs="Courier New" w:eastAsia="Courier New" w:hAnsi="Courier New"/>
          <w:b/>
          <w:bCs/>
          <w:color w:val="1B2A4A"/>
          <w:sz w:val="18"/>
          <w:szCs w:val="18"/>
        </w:rPr>
        <w:t xml:space="preserve">§16.3.c  </w:t>
      </w:r>
      <w:r>
        <w:rPr>
          <w:rFonts w:ascii="Garamond" w:cs="Garamond" w:eastAsia="Garamond" w:hAnsi="Garamond"/>
          <w:b/>
          <w:bCs/>
          <w:color w:val="1B2A4A"/>
          <w:sz w:val="22"/>
          <w:szCs w:val="22"/>
        </w:rPr>
        <w:t xml:space="preserve">Resilience and Privacy</w:t>
      </w:r>
    </w:p>
    <w:p>
      <w:pPr>
        <w:spacing w:after="120" w:before="0"/>
        <w:ind w:left="863"/>
        <w:jc w:val="both"/>
      </w:pPr>
      <w:r>
        <w:rPr>
          <w:rFonts w:ascii="Garamond" w:cs="Garamond" w:eastAsia="Garamond" w:hAnsi="Garamond"/>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863"/>
      </w:pPr>
      <w:r>
        <w:rPr>
          <w:rFonts w:ascii="Courier New" w:cs="Courier New" w:eastAsia="Courier New" w:hAnsi="Courier New"/>
          <w:b/>
          <w:bCs/>
          <w:color w:val="1B2A4A"/>
          <w:sz w:val="18"/>
          <w:szCs w:val="18"/>
        </w:rPr>
        <w:t xml:space="preserve">§16.4.a  </w:t>
      </w:r>
      <w:r>
        <w:rPr>
          <w:rFonts w:ascii="Garamond" w:cs="Garamond" w:eastAsia="Garamond" w:hAnsi="Garamond"/>
          <w:b/>
          <w:bCs/>
          <w:color w:val="1B2A4A"/>
          <w:sz w:val="22"/>
          <w:szCs w:val="22"/>
        </w:rPr>
        <w:t xml:space="preserve">The Citizen Voting Credential</w:t>
      </w:r>
    </w:p>
    <w:p>
      <w:pPr>
        <w:spacing w:after="120" w:before="0"/>
        <w:ind w:left="863"/>
        <w:jc w:val="both"/>
      </w:pPr>
      <w:r>
        <w:rPr>
          <w:rFonts w:ascii="Garamond" w:cs="Garamond" w:eastAsia="Garamond" w:hAnsi="Garamond"/>
          <w:color w:val="2a252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w:t>
      </w:r>
    </w:p>
    <w:p>
      <w:pPr>
        <w:spacing w:after="60" w:before="200"/>
        <w:ind w:left="863"/>
      </w:pPr>
      <w:r>
        <w:rPr>
          <w:rFonts w:ascii="Courier New" w:cs="Courier New" w:eastAsia="Courier New" w:hAnsi="Courier New"/>
          <w:b/>
          <w:bCs/>
          <w:color w:val="1B2A4A"/>
          <w:sz w:val="18"/>
          <w:szCs w:val="18"/>
        </w:rPr>
        <w:t xml:space="preserve">§16.4.b  </w:t>
      </w:r>
      <w:r>
        <w:rPr>
          <w:rFonts w:ascii="Garamond" w:cs="Garamond" w:eastAsia="Garamond" w:hAnsi="Garamond"/>
          <w:b/>
          <w:bCs/>
          <w:color w:val="1B2A4A"/>
          <w:sz w:val="22"/>
          <w:szCs w:val="22"/>
        </w:rPr>
        <w:t xml:space="preserve">Remote Voting</w:t>
      </w:r>
    </w:p>
    <w:p>
      <w:pPr>
        <w:spacing w:after="120" w:before="0"/>
        <w:ind w:left="863"/>
        <w:jc w:val="both"/>
      </w:pPr>
      <w:r>
        <w:rPr>
          <w:rFonts w:ascii="Garamond" w:cs="Garamond" w:eastAsia="Garamond" w:hAnsi="Garamond"/>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863"/>
      </w:pPr>
      <w:r>
        <w:rPr>
          <w:rFonts w:ascii="Courier New" w:cs="Courier New" w:eastAsia="Courier New" w:hAnsi="Courier New"/>
          <w:b/>
          <w:bCs/>
          <w:color w:val="1B2A4A"/>
          <w:sz w:val="18"/>
          <w:szCs w:val="18"/>
        </w:rPr>
        <w:t xml:space="preserve">§16.4.c  </w:t>
      </w:r>
      <w:r>
        <w:rPr>
          <w:rFonts w:ascii="Garamond" w:cs="Garamond" w:eastAsia="Garamond" w:hAnsi="Garamond"/>
          <w:b/>
          <w:bCs/>
          <w:color w:val="1B2A4A"/>
          <w:sz w:val="22"/>
          <w:szCs w:val="22"/>
        </w:rPr>
        <w:t xml:space="preserve">State Voting Method Flexibility</w:t>
      </w:r>
    </w:p>
    <w:p>
      <w:pPr>
        <w:spacing w:after="120" w:before="0"/>
        <w:ind w:left="863"/>
        <w:jc w:val="both"/>
      </w:pPr>
      <w:r>
        <w:rPr>
          <w:rFonts w:ascii="Garamond" w:cs="Garamond" w:eastAsia="Garamond" w:hAnsi="Garamond"/>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 Added v143.</w:t>
      </w:r>
    </w:p>
    <w:p>
      <w:pPr>
        <w:spacing w:after="60" w:before="200"/>
        <w:ind w:left="863"/>
      </w:pPr>
      <w:r>
        <w:rPr>
          <w:rFonts w:ascii="Courier New" w:cs="Courier New" w:eastAsia="Courier New" w:hAnsi="Courier New"/>
          <w:b/>
          <w:bCs/>
          <w:color w:val="1B2A4A"/>
          <w:sz w:val="18"/>
          <w:szCs w:val="18"/>
        </w:rPr>
        <w:t xml:space="preserve">§16.4.d  </w:t>
      </w:r>
      <w:r>
        <w:rPr>
          <w:rFonts w:ascii="Garamond" w:cs="Garamond" w:eastAsia="Garamond" w:hAnsi="Garamond"/>
          <w:b/>
          <w:bCs/>
          <w:color w:val="1B2A4A"/>
          <w:sz w:val="22"/>
          <w:szCs w:val="22"/>
        </w:rPr>
        <w:t xml:space="preserve">Federal Ballot Information</w:t>
      </w:r>
    </w:p>
    <w:p>
      <w:pPr>
        <w:spacing w:after="120" w:before="0"/>
        <w:ind w:left="863"/>
        <w:jc w:val="both"/>
      </w:pPr>
      <w:r>
        <w:rPr>
          <w:rFonts w:ascii="Garamond" w:cs="Garamond" w:eastAsia="Garamond" w:hAnsi="Garamond"/>
          <w:color w:val="2a2520"/>
          <w:sz w:val="22"/>
          <w:szCs w:val="22"/>
        </w:rPr>
        <w:t xml:space="preserve">Before each federal election window opens, the Electoral Commission delivers to every eligible citizen: the list of federal races on their ballot, the NVS access procedures, and the certification timeline. Delivery must reach every eligible citizen through at least two distinct channels. Added v143.</w:t>
      </w:r>
    </w:p>
    <w:p>
      <w:pPr>
        <w:spacing w:after="60" w:before="200"/>
        <w:ind w:left="863"/>
      </w:pPr>
      <w:r>
        <w:rPr>
          <w:rFonts w:ascii="Courier New" w:cs="Courier New" w:eastAsia="Courier New" w:hAnsi="Courier New"/>
          <w:b/>
          <w:bCs/>
          <w:color w:val="1B2A4A"/>
          <w:sz w:val="18"/>
          <w:szCs w:val="18"/>
        </w:rPr>
        <w:t xml:space="preserve">§16.4.e  </w:t>
      </w:r>
      <w:r>
        <w:rPr>
          <w:rFonts w:ascii="Garamond" w:cs="Garamond" w:eastAsia="Garamond" w:hAnsi="Garamond"/>
          <w:b/>
          <w:bCs/>
          <w:color w:val="1B2A4A"/>
          <w:sz w:val="22"/>
          <w:szCs w:val="22"/>
        </w:rPr>
        <w:t xml:space="preserve">State Ballot Information on Request</w:t>
      </w:r>
    </w:p>
    <w:p>
      <w:pPr>
        <w:spacing w:after="120" w:before="0"/>
        <w:ind w:left="863"/>
        <w:jc w:val="both"/>
      </w:pPr>
      <w:r>
        <w:rPr>
          <w:rFonts w:ascii="Garamond" w:cs="Garamond" w:eastAsia="Garamond" w:hAnsi="Garamond"/>
          <w:color w:val="2a2520"/>
          <w:sz w:val="22"/>
          <w:szCs w:val="22"/>
        </w:rPr>
        <w:t xml:space="preserve">At a state's request, EC may extend ballot information delivery to cover state and local races. State bears cost. EC cannot refuse except on operational capacity grounds. Entirely voluntary. New in v143.</w:t>
      </w:r>
    </w:p>
    <w:p>
      <w:pPr>
        <w:spacing w:after="60" w:before="200"/>
        <w:ind w:left="863"/>
      </w:pPr>
      <w:r>
        <w:rPr>
          <w:rFonts w:ascii="Courier New" w:cs="Courier New" w:eastAsia="Courier New" w:hAnsi="Courier New"/>
          <w:b/>
          <w:bCs/>
          <w:color w:val="1B2A4A"/>
          <w:sz w:val="18"/>
          <w:szCs w:val="18"/>
        </w:rPr>
        <w:t xml:space="preserve">§16.5.a  </w:t>
      </w:r>
      <w:r>
        <w:rPr>
          <w:rFonts w:ascii="Garamond" w:cs="Garamond" w:eastAsia="Garamond" w:hAnsi="Garamond"/>
          <w:b/>
          <w:bCs/>
          <w:color w:val="1B2A4A"/>
          <w:sz w:val="22"/>
          <w:szCs w:val="22"/>
        </w:rPr>
        <w:t xml:space="preserve">Campaign Funding</w:t>
      </w:r>
    </w:p>
    <w:p>
      <w:pPr>
        <w:spacing w:after="120" w:before="0"/>
        <w:ind w:left="863"/>
        <w:jc w:val="both"/>
      </w:pPr>
      <w:r>
        <w:rPr>
          <w:rFonts w:ascii="Garamond" w:cs="Garamond" w:eastAsia="Garamond" w:hAnsi="Garamond"/>
          <w:color w:val="2a2520"/>
          <w:sz w:val="22"/>
          <w:szCs w:val="22"/>
        </w:rPr>
        <w:t xml:space="preserve">Campaigns for Electoral Commission seats are publicly funded in full. No private money may be spent on EC campaigns. The EC administers elections for all other offices — it cannot itself be captured by the interests that it would regulate in other campaigns.</w:t>
      </w:r>
    </w:p>
    <w:p>
      <w:pPr>
        <w:spacing w:after="60" w:before="200"/>
        <w:ind w:left="863"/>
      </w:pPr>
      <w:r>
        <w:rPr>
          <w:rFonts w:ascii="Courier New" w:cs="Courier New" w:eastAsia="Courier New" w:hAnsi="Courier New"/>
          <w:b/>
          <w:bCs/>
          <w:color w:val="1B2A4A"/>
          <w:sz w:val="18"/>
          <w:szCs w:val="18"/>
        </w:rPr>
        <w:t xml:space="preserve">§16.5.b  </w:t>
      </w:r>
      <w:r>
        <w:rPr>
          <w:rFonts w:ascii="Garamond" w:cs="Garamond" w:eastAsia="Garamond" w:hAnsi="Garamond"/>
          <w:b/>
          <w:bCs/>
          <w:color w:val="1B2A4A"/>
          <w:sz w:val="22"/>
          <w:szCs w:val="22"/>
        </w:rPr>
        <w:t xml:space="preserve">JI Oversight</w:t>
      </w:r>
    </w:p>
    <w:p>
      <w:pPr>
        <w:spacing w:after="120" w:before="0"/>
        <w:ind w:left="863"/>
        <w:jc w:val="both"/>
      </w:pPr>
      <w:r>
        <w:rPr>
          <w:rFonts w:ascii="Garamond" w:cs="Garamond" w:eastAsia="Garamond" w:hAnsi="Garamond"/>
          <w:color w:val="2a2520"/>
          <w:sz w:val="22"/>
          <w:szCs w:val="22"/>
        </w:rPr>
        <w:t xml:space="preserve">The Judicial Inspectorate audits the Electoral Commission annually. The JI is the appropriate Inspectorate for EC oversight — it audits judicial independence, and electoral integrity has similar structural properties. JI audit findings on the EC are published to the NRS and presented to both chambers.</w:t>
      </w:r>
    </w:p>
    <w:p>
      <w:pPr>
        <w:spacing w:after="60" w:before="200"/>
        <w:ind w:left="863"/>
      </w:pPr>
      <w:r>
        <w:rPr>
          <w:rFonts w:ascii="Courier New" w:cs="Courier New" w:eastAsia="Courier New" w:hAnsi="Courier New"/>
          <w:b/>
          <w:bCs/>
          <w:color w:val="1B2A4A"/>
          <w:sz w:val="18"/>
          <w:szCs w:val="18"/>
        </w:rPr>
        <w:t xml:space="preserve">§16.5.c  </w:t>
      </w:r>
      <w:r>
        <w:rPr>
          <w:rFonts w:ascii="Garamond" w:cs="Garamond" w:eastAsia="Garamond" w:hAnsi="Garamond"/>
          <w:b/>
          <w:bCs/>
          <w:color w:val="1B2A4A"/>
          <w:sz w:val="22"/>
          <w:szCs w:val="22"/>
        </w:rPr>
        <w:t xml:space="preserve">Removal</w:t>
      </w:r>
    </w:p>
    <w:p>
      <w:pPr>
        <w:spacing w:after="120" w:before="0"/>
        <w:ind w:left="863"/>
        <w:jc w:val="both"/>
      </w:pPr>
      <w:r>
        <w:rPr>
          <w:rFonts w:ascii="Garamond" w:cs="Garamond" w:eastAsia="Garamond" w:hAnsi="Garamond"/>
          <w:color w:val="2a2520"/>
          <w:sz w:val="22"/>
          <w:szCs w:val="22"/>
        </w:rPr>
        <w:t xml:space="preserve">For-cause only, 2/3 both chambers simultaneously, preceded by State Designee Panel verification. 180-day election proximity rule: any removal vote within 180 days of a major national election is automatically suspended pending SC review within 48 hours. Critically: the proximity restriction applies to the removal vote only — Panel-triggered suspension of duties under §16.2.a is not subject to the proximity window. Amended v148.</w:t>
      </w:r>
    </w:p>
    <w:p>
      <w:pPr>
        <w:spacing w:after="60" w:before="200"/>
        <w:ind w:left="863"/>
      </w:pPr>
      <w:r>
        <w:rPr>
          <w:rFonts w:ascii="Courier New" w:cs="Courier New" w:eastAsia="Courier New" w:hAnsi="Courier New"/>
          <w:b/>
          <w:bCs/>
          <w:color w:val="1B2A4A"/>
          <w:sz w:val="18"/>
          <w:szCs w:val="18"/>
        </w:rPr>
        <w:t xml:space="preserve">§16.5.d  </w:t>
      </w:r>
      <w:r>
        <w:rPr>
          <w:rFonts w:ascii="Garamond" w:cs="Garamond" w:eastAsia="Garamond" w:hAnsi="Garamond"/>
          <w:b/>
          <w:bCs/>
          <w:color w:val="1B2A4A"/>
          <w:sz w:val="22"/>
          <w:szCs w:val="22"/>
        </w:rPr>
        <w:t xml:space="preserve">Mid-Term Vacancy</w:t>
      </w:r>
    </w:p>
    <w:p>
      <w:pPr>
        <w:spacing w:after="120" w:before="0"/>
        <w:ind w:left="863"/>
        <w:jc w:val="both"/>
      </w:pPr>
      <w:r>
        <w:rPr>
          <w:rFonts w:ascii="Garamond" w:cs="Garamond" w:eastAsia="Garamond" w:hAnsi="Garamond"/>
          <w:color w:val="2a2520"/>
          <w:sz w:val="22"/>
          <w:szCs w:val="22"/>
        </w:rPr>
        <w:t xml:space="preserve">Where any Electoral Commission seat becomes vacant mid-term, a special election is held within 90 days through the NVS. The replacement serves the remainder of the vacated seat's term, then may stand as a candidate at the next regular EC election for a full new non-renewable term. Where fewer than 18 months remain in the vacated seat's term, the replacement may stand for a full term at the next regular EC election without serving the remainder. The Commission operates under its active-membership threshold during the vacancy period.</w:t>
      </w:r>
    </w:p>
    <w:p>
      <w:pPr>
        <w:spacing w:after="60" w:before="200"/>
        <w:ind w:left="431"/>
      </w:pPr>
      <w:r>
        <w:rPr>
          <w:rFonts w:ascii="Courier New" w:cs="Courier New" w:eastAsia="Courier New" w:hAnsi="Courier New"/>
          <w:b/>
          <w:bCs/>
          <w:color w:val="1B2A4A"/>
          <w:sz w:val="18"/>
          <w:szCs w:val="18"/>
        </w:rPr>
        <w:t xml:space="preserve">§16.6  </w:t>
      </w:r>
      <w:r>
        <w:rPr>
          <w:rFonts w:ascii="Garamond" w:cs="Garamond" w:eastAsia="Garamond" w:hAnsi="Garamond"/>
          <w:b/>
          <w:bCs/>
          <w:color w:val="1B2A4A"/>
          <w:sz w:val="22"/>
          <w:szCs w:val="22"/>
        </w:rPr>
        <w:t xml:space="preserve">Electoral Commission Technical Deadlock</w:t>
      </w:r>
    </w:p>
    <w:p>
      <w:pPr>
        <w:spacing w:after="120" w:before="0"/>
        <w:ind w:left="431"/>
        <w:jc w:val="both"/>
      </w:pPr>
      <w:r>
        <w:rPr>
          <w:rFonts w:ascii="Garamond" w:cs="Garamond" w:eastAsia="Garamond" w:hAnsi="Garamond"/>
          <w:color w:val="2a2520"/>
          <w:sz w:val="22"/>
          <w:szCs w:val="22"/>
        </w:rPr>
        <w:t xml:space="preserve">Legislature must establish by statute a procedure for the EC to adopt temporary technical measures in imminent security threats or system failures, bypassing the normal 3/5 decision threshold. The emergency power is narrowly constrained — it cannot change electoral rules, timelines, or candidate eligibility. A system-integrity tool only.</w:t>
      </w:r>
    </w:p>
    <w:p>
      <w:pPr>
        <w:spacing w:after="60" w:before="200"/>
        <w:ind w:left="431"/>
      </w:pPr>
      <w:r>
        <w:rPr>
          <w:rFonts w:ascii="Courier New" w:cs="Courier New" w:eastAsia="Courier New" w:hAnsi="Courier New"/>
          <w:b/>
          <w:bCs/>
          <w:color w:val="1B2A4A"/>
          <w:sz w:val="18"/>
          <w:szCs w:val="18"/>
        </w:rPr>
        <w:t xml:space="preserve">§16.7  </w:t>
      </w:r>
      <w:r>
        <w:rPr>
          <w:rFonts w:ascii="Garamond" w:cs="Garamond" w:eastAsia="Garamond" w:hAnsi="Garamond"/>
          <w:b/>
          <w:bCs/>
          <w:color w:val="1B2A4A"/>
          <w:sz w:val="22"/>
          <w:szCs w:val="22"/>
        </w:rPr>
        <w:t xml:space="preserve">Day Zero Voting System Transition</w:t>
      </w:r>
    </w:p>
    <w:p>
      <w:pPr>
        <w:spacing w:after="120" w:before="0"/>
        <w:ind w:left="431"/>
        <w:jc w:val="both"/>
      </w:pPr>
      <w:r>
        <w:rPr>
          <w:rFonts w:ascii="Garamond" w:cs="Garamond" w:eastAsia="Garamond" w:hAnsi="Garamond"/>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 The ratification vote itself was conducted on the NVS (§19.1).</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XVII — Defence and Security</w:t>
      </w:r>
    </w:p>
    <w:p>
      <w:pPr>
        <w:spacing w:after="120"/>
      </w:pPr>
    </w:p>
    <w:p>
      <w:pPr>
        <w:spacing w:after="60" w:before="200"/>
        <w:ind w:left="431"/>
      </w:pPr>
      <w:r>
        <w:rPr>
          <w:rFonts w:ascii="Courier New" w:cs="Courier New" w:eastAsia="Courier New" w:hAnsi="Courier New"/>
          <w:b/>
          <w:bCs/>
          <w:color w:val="1B2A4A"/>
          <w:sz w:val="18"/>
          <w:szCs w:val="18"/>
        </w:rPr>
        <w:t xml:space="preserve">§17.1  </w:t>
      </w:r>
      <w:r>
        <w:rPr>
          <w:rFonts w:ascii="Garamond" w:cs="Garamond" w:eastAsia="Garamond" w:hAnsi="Garamond"/>
          <w:b/>
          <w:bCs/>
          <w:color w:val="1B2A4A"/>
          <w:sz w:val="22"/>
          <w:szCs w:val="22"/>
        </w:rPr>
        <w:t xml:space="preserve">The Use Doctrine</w:t>
      </w:r>
    </w:p>
    <w:p>
      <w:pPr>
        <w:spacing w:after="120" w:before="0"/>
        <w:ind w:left="431"/>
        <w:jc w:val="both"/>
      </w:pPr>
      <w:r>
        <w:rPr>
          <w:rFonts w:ascii="Garamond" w:cs="Garamond" w:eastAsia="Garamond" w:hAnsi="Garamond"/>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pPr>
      <w:r>
        <w:rPr>
          <w:rFonts w:ascii="Courier New" w:cs="Courier New" w:eastAsia="Courier New" w:hAnsi="Courier New"/>
          <w:b/>
          <w:bCs/>
          <w:color w:val="1B2A4A"/>
          <w:sz w:val="18"/>
          <w:szCs w:val="18"/>
        </w:rPr>
        <w:t xml:space="preserve">§17.2  </w:t>
      </w:r>
      <w:r>
        <w:rPr>
          <w:rFonts w:ascii="Garamond" w:cs="Garamond" w:eastAsia="Garamond" w:hAnsi="Garamond"/>
          <w:b/>
          <w:bCs/>
          <w:color w:val="1B2A4A"/>
          <w:sz w:val="22"/>
          <w:szCs w:val="22"/>
        </w:rPr>
        <w:t xml:space="preserve">Seat of Government</w:t>
      </w:r>
    </w:p>
    <w:p>
      <w:pPr>
        <w:spacing w:after="120" w:before="0"/>
        <w:ind w:left="431"/>
        <w:jc w:val="both"/>
      </w:pPr>
      <w:r>
        <w:rPr>
          <w:rFonts w:ascii="Garamond" w:cs="Garamond" w:eastAsia="Garamond" w:hAnsi="Garamond"/>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863"/>
      </w:pPr>
      <w:r>
        <w:rPr>
          <w:rFonts w:ascii="Courier New" w:cs="Courier New" w:eastAsia="Courier New" w:hAnsi="Courier New"/>
          <w:b/>
          <w:bCs/>
          <w:color w:val="1B2A4A"/>
          <w:sz w:val="18"/>
          <w:szCs w:val="18"/>
        </w:rPr>
        <w:t xml:space="preserve">§17.2.a  </w:t>
      </w:r>
      <w:r>
        <w:rPr>
          <w:rFonts w:ascii="Garamond" w:cs="Garamond" w:eastAsia="Garamond" w:hAnsi="Garamond"/>
          <w:b/>
          <w:bCs/>
          <w:color w:val="1B2A4A"/>
          <w:sz w:val="22"/>
          <w:szCs w:val="22"/>
        </w:rPr>
        <w:t xml:space="preserve">Bid Process and Requirements Specification</w:t>
      </w:r>
    </w:p>
    <w:p>
      <w:pPr>
        <w:spacing w:after="120" w:before="0"/>
        <w:ind w:left="863"/>
        <w:jc w:val="both"/>
      </w:pPr>
      <w:r>
        <w:rPr>
          <w:rFonts w:ascii="Garamond" w:cs="Garamond" w:eastAsia="Garamond" w:hAnsi="Garamond"/>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hosting statute must specify the disposition of federal improvements made to the designated footprint in the event the Seat of Government relocates.</w:t>
      </w:r>
    </w:p>
    <w:p>
      <w:pPr>
        <w:spacing w:after="60" w:before="200"/>
        <w:ind w:left="863"/>
      </w:pPr>
      <w:r>
        <w:rPr>
          <w:rFonts w:ascii="Courier New" w:cs="Courier New" w:eastAsia="Courier New" w:hAnsi="Courier New"/>
          <w:b/>
          <w:bCs/>
          <w:color w:val="1B2A4A"/>
          <w:sz w:val="18"/>
          <w:szCs w:val="18"/>
        </w:rPr>
        <w:t xml:space="preserve">§17.2.b  </w:t>
      </w:r>
      <w:r>
        <w:rPr>
          <w:rFonts w:ascii="Garamond" w:cs="Garamond" w:eastAsia="Garamond" w:hAnsi="Garamond"/>
          <w:b/>
          <w:bCs/>
          <w:color w:val="1B2A4A"/>
          <w:sz w:val="22"/>
          <w:szCs w:val="22"/>
        </w:rPr>
        <w:t xml:space="preserve">Twenty-Year Review Cycle</w:t>
      </w:r>
    </w:p>
    <w:p>
      <w:pPr>
        <w:spacing w:after="120" w:before="0"/>
        <w:ind w:left="863"/>
        <w:jc w:val="both"/>
      </w:pPr>
      <w:r>
        <w:rPr>
          <w:rFonts w:ascii="Garamond" w:cs="Garamond" w:eastAsia="Garamond" w:hAnsi="Garamond"/>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863"/>
      </w:pPr>
      <w:r>
        <w:rPr>
          <w:rFonts w:ascii="Courier New" w:cs="Courier New" w:eastAsia="Courier New" w:hAnsi="Courier New"/>
          <w:b/>
          <w:bCs/>
          <w:color w:val="1B2A4A"/>
          <w:sz w:val="18"/>
          <w:szCs w:val="18"/>
        </w:rPr>
        <w:t xml:space="preserve">§17.2.c  </w:t>
      </w:r>
      <w:r>
        <w:rPr>
          <w:rFonts w:ascii="Garamond" w:cs="Garamond" w:eastAsia="Garamond" w:hAnsi="Garamond"/>
          <w:b/>
          <w:bCs/>
          <w:color w:val="1B2A4A"/>
          <w:sz w:val="22"/>
          <w:szCs w:val="22"/>
        </w:rPr>
        <w:t xml:space="preserve">Transition Window</w:t>
      </w:r>
    </w:p>
    <w:p>
      <w:pPr>
        <w:spacing w:after="120" w:before="0"/>
        <w:ind w:left="863"/>
        <w:jc w:val="both"/>
      </w:pPr>
      <w:r>
        <w:rPr>
          <w:rFonts w:ascii="Garamond" w:cs="Garamond" w:eastAsia="Garamond" w:hAnsi="Garamond"/>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Upon completion, the prior host recovers full sovereignty over all previously designated federal footprint under §17.3.b.</w:t>
      </w:r>
    </w:p>
    <w:p>
      <w:pPr>
        <w:spacing w:after="60" w:before="200"/>
        <w:ind w:left="863"/>
      </w:pPr>
      <w:r>
        <w:rPr>
          <w:rFonts w:ascii="Courier New" w:cs="Courier New" w:eastAsia="Courier New" w:hAnsi="Courier New"/>
          <w:b/>
          <w:bCs/>
          <w:color w:val="1B2A4A"/>
          <w:sz w:val="18"/>
          <w:szCs w:val="18"/>
        </w:rPr>
        <w:t xml:space="preserve">§17.2.d  </w:t>
      </w:r>
      <w:r>
        <w:rPr>
          <w:rFonts w:ascii="Garamond" w:cs="Garamond" w:eastAsia="Garamond" w:hAnsi="Garamond"/>
          <w:b/>
          <w:bCs/>
          <w:color w:val="1B2A4A"/>
          <w:sz w:val="22"/>
          <w:szCs w:val="22"/>
        </w:rPr>
        <w:t xml:space="preserve">No-Bid Scenario</w:t>
      </w:r>
    </w:p>
    <w:p>
      <w:pPr>
        <w:spacing w:after="120" w:before="0"/>
        <w:ind w:left="863"/>
        <w:jc w:val="both"/>
      </w:pPr>
      <w:r>
        <w:rPr>
          <w:rFonts w:ascii="Garamond" w:cs="Garamond" w:eastAsia="Garamond" w:hAnsi="Garamond"/>
          <w:color w:val="2a2520"/>
          <w:sz w:val="22"/>
          <w:szCs w:val="22"/>
        </w:rPr>
        <w:t xml:space="preserve">If no State or Territory submits a bid within the call period, the Senate identifies candidate States and Territories and presents options to the House within 90 days of the close of the bid period.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§1.10.b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863"/>
      </w:pPr>
      <w:r>
        <w:rPr>
          <w:rFonts w:ascii="Courier New" w:cs="Courier New" w:eastAsia="Courier New" w:hAnsi="Courier New"/>
          <w:b/>
          <w:bCs/>
          <w:color w:val="1B2A4A"/>
          <w:sz w:val="18"/>
          <w:szCs w:val="18"/>
        </w:rPr>
        <w:t xml:space="preserve">§17.2.e  </w:t>
      </w:r>
      <w:r>
        <w:rPr>
          <w:rFonts w:ascii="Garamond" w:cs="Garamond" w:eastAsia="Garamond" w:hAnsi="Garamond"/>
          <w:b/>
          <w:bCs/>
          <w:color w:val="1B2A4A"/>
          <w:sz w:val="22"/>
          <w:szCs w:val="22"/>
        </w:rPr>
        <w:t xml:space="preserve">Federal Control Within Footprint</w:t>
      </w:r>
    </w:p>
    <w:p>
      <w:pPr>
        <w:spacing w:after="120" w:before="0"/>
        <w:ind w:left="863"/>
        <w:jc w:val="both"/>
      </w:pPr>
      <w:r>
        <w:rPr>
          <w:rFonts w:ascii="Garamond" w:cs="Garamond" w:eastAsia="Garamond" w:hAnsi="Garamond"/>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863"/>
      </w:pPr>
      <w:r>
        <w:rPr>
          <w:rFonts w:ascii="Courier New" w:cs="Courier New" w:eastAsia="Courier New" w:hAnsi="Courier New"/>
          <w:b/>
          <w:bCs/>
          <w:color w:val="1B2A4A"/>
          <w:sz w:val="18"/>
          <w:szCs w:val="18"/>
        </w:rPr>
        <w:t xml:space="preserve">§17.2.f  </w:t>
      </w:r>
      <w:r>
        <w:rPr>
          <w:rFonts w:ascii="Garamond" w:cs="Garamond" w:eastAsia="Garamond" w:hAnsi="Garamond"/>
          <w:b/>
          <w:bCs/>
          <w:color w:val="1B2A4A"/>
          <w:sz w:val="22"/>
          <w:szCs w:val="22"/>
        </w:rPr>
        <w:t xml:space="preserve">Resident Rights</w:t>
      </w:r>
    </w:p>
    <w:p>
      <w:pPr>
        <w:spacing w:after="120" w:before="0"/>
        <w:ind w:left="863"/>
        <w:jc w:val="both"/>
      </w:pPr>
      <w:r>
        <w:rPr>
          <w:rFonts w:ascii="Garamond" w:cs="Garamond" w:eastAsia="Garamond" w:hAnsi="Garamond"/>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863"/>
      </w:pPr>
      <w:r>
        <w:rPr>
          <w:rFonts w:ascii="Courier New" w:cs="Courier New" w:eastAsia="Courier New" w:hAnsi="Courier New"/>
          <w:b/>
          <w:bCs/>
          <w:color w:val="1B2A4A"/>
          <w:sz w:val="18"/>
          <w:szCs w:val="18"/>
        </w:rPr>
        <w:t xml:space="preserve">§17.3.a  </w:t>
      </w:r>
      <w:r>
        <w:rPr>
          <w:rFonts w:ascii="Garamond" w:cs="Garamond" w:eastAsia="Garamond" w:hAnsi="Garamond"/>
          <w:b/>
          <w:bCs/>
          <w:color w:val="1B2A4A"/>
          <w:sz w:val="22"/>
          <w:szCs w:val="22"/>
        </w:rPr>
        <w:t xml:space="preserve">Registration</w:t>
      </w:r>
    </w:p>
    <w:p>
      <w:pPr>
        <w:spacing w:after="120" w:before="0"/>
        <w:ind w:left="863"/>
        <w:jc w:val="both"/>
      </w:pPr>
      <w:r>
        <w:rPr>
          <w:rFonts w:ascii="Garamond" w:cs="Garamond" w:eastAsia="Garamond" w:hAnsi="Garamond"/>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863"/>
      </w:pPr>
      <w:r>
        <w:rPr>
          <w:rFonts w:ascii="Courier New" w:cs="Courier New" w:eastAsia="Courier New" w:hAnsi="Courier New"/>
          <w:b/>
          <w:bCs/>
          <w:color w:val="1B2A4A"/>
          <w:sz w:val="18"/>
          <w:szCs w:val="18"/>
        </w:rPr>
        <w:t xml:space="preserve">§17.3.b  </w:t>
      </w:r>
      <w:r>
        <w:rPr>
          <w:rFonts w:ascii="Garamond" w:cs="Garamond" w:eastAsia="Garamond" w:hAnsi="Garamond"/>
          <w:b/>
          <w:bCs/>
          <w:color w:val="1B2A4A"/>
          <w:sz w:val="22"/>
          <w:szCs w:val="22"/>
        </w:rPr>
        <w:t xml:space="preserve">Termination and Reversion</w:t>
      </w:r>
    </w:p>
    <w:p>
      <w:pPr>
        <w:spacing w:after="120" w:before="0"/>
        <w:ind w:left="863"/>
        <w:jc w:val="both"/>
      </w:pPr>
      <w:r>
        <w:rPr>
          <w:rFonts w:ascii="Garamond" w:cs="Garamond" w:eastAsia="Garamond" w:hAnsi="Garamond"/>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863"/>
      </w:pPr>
      <w:r>
        <w:rPr>
          <w:rFonts w:ascii="Courier New" w:cs="Courier New" w:eastAsia="Courier New" w:hAnsi="Courier New"/>
          <w:b/>
          <w:bCs/>
          <w:color w:val="1B2A4A"/>
          <w:sz w:val="18"/>
          <w:szCs w:val="18"/>
        </w:rPr>
        <w:t xml:space="preserve">§17.3.c  </w:t>
      </w:r>
      <w:r>
        <w:rPr>
          <w:rFonts w:ascii="Garamond" w:cs="Garamond" w:eastAsia="Garamond" w:hAnsi="Garamond"/>
          <w:b/>
          <w:bCs/>
          <w:color w:val="1B2A4A"/>
          <w:sz w:val="22"/>
          <w:szCs w:val="22"/>
        </w:rPr>
        <w:t xml:space="preserve">Improvements — Negotiated Settlement</w:t>
      </w:r>
    </w:p>
    <w:p>
      <w:pPr>
        <w:spacing w:after="120" w:before="0"/>
        <w:ind w:left="863"/>
        <w:jc w:val="both"/>
      </w:pPr>
      <w:r>
        <w:rPr>
          <w:rFonts w:ascii="Garamond" w:cs="Garamond" w:eastAsia="Garamond" w:hAnsi="Garamond"/>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863"/>
      </w:pPr>
      <w:r>
        <w:rPr>
          <w:rFonts w:ascii="Courier New" w:cs="Courier New" w:eastAsia="Courier New" w:hAnsi="Courier New"/>
          <w:b/>
          <w:bCs/>
          <w:color w:val="1B2A4A"/>
          <w:sz w:val="18"/>
          <w:szCs w:val="18"/>
        </w:rPr>
        <w:t xml:space="preserve">§17.3.d  </w:t>
      </w:r>
      <w:r>
        <w:rPr>
          <w:rFonts w:ascii="Garamond" w:cs="Garamond" w:eastAsia="Garamond" w:hAnsi="Garamond"/>
          <w:b/>
          <w:bCs/>
          <w:color w:val="1B2A4A"/>
          <w:sz w:val="22"/>
          <w:szCs w:val="22"/>
        </w:rPr>
        <w:t xml:space="preserve">Disputes</w:t>
      </w:r>
    </w:p>
    <w:p>
      <w:pPr>
        <w:spacing w:after="120" w:before="0"/>
        <w:ind w:left="863"/>
        <w:jc w:val="both"/>
      </w:pPr>
      <w:r>
        <w:rPr>
          <w:rFonts w:ascii="Garamond" w:cs="Garamond" w:eastAsia="Garamond" w:hAnsi="Garamond"/>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863"/>
      </w:pPr>
      <w:r>
        <w:rPr>
          <w:rFonts w:ascii="Courier New" w:cs="Courier New" w:eastAsia="Courier New" w:hAnsi="Courier New"/>
          <w:b/>
          <w:bCs/>
          <w:color w:val="1B2A4A"/>
          <w:sz w:val="18"/>
          <w:szCs w:val="18"/>
        </w:rPr>
        <w:t xml:space="preserve">§17.3.e  </w:t>
      </w:r>
      <w:r>
        <w:rPr>
          <w:rFonts w:ascii="Garamond" w:cs="Garamond" w:eastAsia="Garamond" w:hAnsi="Garamond"/>
          <w:b/>
          <w:bCs/>
          <w:color w:val="1B2A4A"/>
          <w:sz w:val="22"/>
          <w:szCs w:val="22"/>
        </w:rPr>
        <w:t xml:space="preserve">Independence Transition</w:t>
      </w:r>
    </w:p>
    <w:p>
      <w:pPr>
        <w:spacing w:after="120" w:before="0"/>
        <w:ind w:left="863"/>
        <w:jc w:val="both"/>
      </w:pPr>
      <w:r>
        <w:rPr>
          <w:rFonts w:ascii="Garamond" w:cs="Garamond" w:eastAsia="Garamond" w:hAnsi="Garamond"/>
          <w:color w:val="2a2520"/>
          <w:sz w:val="22"/>
          <w:szCs w:val="22"/>
        </w:rPr>
        <w:t xml:space="preserve">Where a State achieves independence through §15.4 and §15.5, automatic reversion under §17.3.b does not immediately apply to Operational Use Rights within the departing territory. Use rights continue under the terms of the framework agreement and independence treaty negotiated under §15.5.a. This prevents independence from instantly stranding critical infrastructure with no transition arrangement.</w:t>
      </w:r>
    </w:p>
    <w:p>
      <w:pPr>
        <w:spacing w:after="60" w:before="200"/>
        <w:ind w:left="431"/>
      </w:pPr>
      <w:r>
        <w:rPr>
          <w:rFonts w:ascii="Courier New" w:cs="Courier New" w:eastAsia="Courier New" w:hAnsi="Courier New"/>
          <w:b/>
          <w:bCs/>
          <w:color w:val="1B2A4A"/>
          <w:sz w:val="18"/>
          <w:szCs w:val="18"/>
        </w:rPr>
        <w:t xml:space="preserve">§17.4  </w:t>
      </w:r>
      <w:r>
        <w:rPr>
          <w:rFonts w:ascii="Garamond" w:cs="Garamond" w:eastAsia="Garamond" w:hAnsi="Garamond"/>
          <w:b/>
          <w:bCs/>
          <w:color w:val="1B2A4A"/>
          <w:sz w:val="22"/>
          <w:szCs w:val="22"/>
        </w:rPr>
        <w:t xml:space="preserve">The National Trust</w:t>
      </w:r>
    </w:p>
    <w:p>
      <w:pPr>
        <w:spacing w:after="120" w:before="0"/>
        <w:ind w:left="431"/>
        <w:jc w:val="both"/>
      </w:pPr>
      <w:r>
        <w:rPr>
          <w:rFonts w:ascii="Garamond" w:cs="Garamond" w:eastAsia="Garamond" w:hAnsi="Garamond"/>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preventing privatization by executive discretion. The National Trust Administrator is independently confirmed under the §2.2.h escalation framework, insulating land management from PM pressure. The Trust is structurally distinct from the Community Land Trust: the NTA manages federal holdings; the CLT Administrator manages affordable residential land held in trust for Inhabitants.</w:t>
      </w:r>
    </w:p>
    <w:p>
      <w:pPr>
        <w:spacing w:after="60" w:before="200"/>
        <w:ind w:left="863"/>
      </w:pPr>
      <w:r>
        <w:rPr>
          <w:rFonts w:ascii="Courier New" w:cs="Courier New" w:eastAsia="Courier New" w:hAnsi="Courier New"/>
          <w:b/>
          <w:bCs/>
          <w:color w:val="1B2A4A"/>
          <w:sz w:val="18"/>
          <w:szCs w:val="18"/>
        </w:rPr>
        <w:t xml:space="preserve">§17.4.a  </w:t>
      </w:r>
      <w:r>
        <w:rPr>
          <w:rFonts w:ascii="Garamond" w:cs="Garamond" w:eastAsia="Garamond" w:hAnsi="Garamond"/>
          <w:b/>
          <w:bCs/>
          <w:color w:val="1B2A4A"/>
          <w:sz w:val="22"/>
          <w:szCs w:val="22"/>
        </w:rPr>
        <w:t xml:space="preserve">Trust Nature</w:t>
      </w:r>
    </w:p>
    <w:p>
      <w:pPr>
        <w:spacing w:after="120" w:before="0"/>
        <w:ind w:left="863"/>
        <w:jc w:val="both"/>
      </w:pPr>
      <w:r>
        <w:rPr>
          <w:rFonts w:ascii="Garamond" w:cs="Garamond" w:eastAsia="Garamond" w:hAnsi="Garamond"/>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863"/>
      </w:pPr>
      <w:r>
        <w:rPr>
          <w:rFonts w:ascii="Courier New" w:cs="Courier New" w:eastAsia="Courier New" w:hAnsi="Courier New"/>
          <w:b/>
          <w:bCs/>
          <w:color w:val="1B2A4A"/>
          <w:sz w:val="18"/>
          <w:szCs w:val="18"/>
        </w:rPr>
        <w:t xml:space="preserve">§17.4.b  </w:t>
      </w:r>
      <w:r>
        <w:rPr>
          <w:rFonts w:ascii="Garamond" w:cs="Garamond" w:eastAsia="Garamond" w:hAnsi="Garamond"/>
          <w:b/>
          <w:bCs/>
          <w:color w:val="1B2A4A"/>
          <w:sz w:val="22"/>
          <w:szCs w:val="22"/>
        </w:rPr>
        <w:t xml:space="preserve">Stewardship Obligation</w:t>
      </w:r>
    </w:p>
    <w:p>
      <w:pPr>
        <w:spacing w:after="120" w:before="0"/>
        <w:ind w:left="863"/>
        <w:jc w:val="both"/>
      </w:pPr>
      <w:r>
        <w:rPr>
          <w:rFonts w:ascii="Garamond" w:cs="Garamond" w:eastAsia="Garamond" w:hAnsi="Garamond"/>
          <w:color w:val="2a2520"/>
          <w:sz w:val="22"/>
          <w:szCs w:val="22"/>
        </w:rPr>
        <w:t xml:space="preserve">The federal government has an active, enforceable obligation to maintain ecological integrity and public accessibility of National Trust lands. EI monitors stewardship compliance annually, cross-referenced with §1.22 (Right to a Healthy Environment). Failure triggers a mandatory remediation plan reported to the NRS. The Trust carries active obligations — not passive title.</w:t>
      </w:r>
    </w:p>
    <w:p>
      <w:pPr>
        <w:spacing w:after="60" w:before="200"/>
        <w:ind w:left="863"/>
      </w:pPr>
      <w:r>
        <w:rPr>
          <w:rFonts w:ascii="Courier New" w:cs="Courier New" w:eastAsia="Courier New" w:hAnsi="Courier New"/>
          <w:b/>
          <w:bCs/>
          <w:color w:val="1B2A4A"/>
          <w:sz w:val="18"/>
          <w:szCs w:val="18"/>
        </w:rPr>
        <w:t xml:space="preserve">§17.4.c  </w:t>
      </w:r>
      <w:r>
        <w:rPr>
          <w:rFonts w:ascii="Garamond" w:cs="Garamond" w:eastAsia="Garamond" w:hAnsi="Garamond"/>
          <w:b/>
          <w:bCs/>
          <w:color w:val="1B2A4A"/>
          <w:sz w:val="22"/>
          <w:szCs w:val="22"/>
        </w:rPr>
        <w:t xml:space="preserve">Co-Management</w:t>
      </w:r>
    </w:p>
    <w:p>
      <w:pPr>
        <w:spacing w:after="120" w:before="0"/>
        <w:ind w:left="863"/>
        <w:jc w:val="both"/>
      </w:pPr>
      <w:r>
        <w:rPr>
          <w:rFonts w:ascii="Garamond" w:cs="Garamond" w:eastAsia="Garamond" w:hAnsi="Garamond"/>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863"/>
      </w:pPr>
      <w:r>
        <w:rPr>
          <w:rFonts w:ascii="Courier New" w:cs="Courier New" w:eastAsia="Courier New" w:hAnsi="Courier New"/>
          <w:b/>
          <w:bCs/>
          <w:color w:val="1B2A4A"/>
          <w:sz w:val="18"/>
          <w:szCs w:val="18"/>
        </w:rPr>
        <w:t xml:space="preserve">§17.4.d  </w:t>
      </w:r>
      <w:r>
        <w:rPr>
          <w:rFonts w:ascii="Garamond" w:cs="Garamond" w:eastAsia="Garamond" w:hAnsi="Garamond"/>
          <w:b/>
          <w:bCs/>
          <w:color w:val="1B2A4A"/>
          <w:sz w:val="22"/>
          <w:szCs w:val="22"/>
        </w:rPr>
        <w:t xml:space="preserve">Reclassification Threshold</w:t>
      </w:r>
    </w:p>
    <w:p>
      <w:pPr>
        <w:spacing w:after="120" w:before="0"/>
        <w:ind w:left="863"/>
        <w:jc w:val="both"/>
      </w:pPr>
      <w:r>
        <w:rPr>
          <w:rFonts w:ascii="Garamond" w:cs="Garamond" w:eastAsia="Garamond" w:hAnsi="Garamond"/>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863"/>
      </w:pPr>
      <w:r>
        <w:rPr>
          <w:rFonts w:ascii="Courier New" w:cs="Courier New" w:eastAsia="Courier New" w:hAnsi="Courier New"/>
          <w:b/>
          <w:bCs/>
          <w:color w:val="1B2A4A"/>
          <w:sz w:val="18"/>
          <w:szCs w:val="18"/>
        </w:rPr>
        <w:t xml:space="preserve">§17.4.e  </w:t>
      </w:r>
      <w:r>
        <w:rPr>
          <w:rFonts w:ascii="Garamond" w:cs="Garamond" w:eastAsia="Garamond" w:hAnsi="Garamond"/>
          <w:b/>
          <w:bCs/>
          <w:color w:val="1B2A4A"/>
          <w:sz w:val="22"/>
          <w:szCs w:val="22"/>
        </w:rPr>
        <w:t xml:space="preserve">International Sites</w:t>
      </w:r>
    </w:p>
    <w:p>
      <w:pPr>
        <w:spacing w:after="120" w:before="0"/>
        <w:ind w:left="863"/>
        <w:jc w:val="both"/>
      </w:pPr>
      <w:r>
        <w:rPr>
          <w:rFonts w:ascii="Garamond" w:cs="Garamond" w:eastAsia="Garamond" w:hAnsi="Garamond"/>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863"/>
      </w:pPr>
      <w:r>
        <w:rPr>
          <w:rFonts w:ascii="Courier New" w:cs="Courier New" w:eastAsia="Courier New" w:hAnsi="Courier New"/>
          <w:b/>
          <w:bCs/>
          <w:color w:val="1B2A4A"/>
          <w:sz w:val="18"/>
          <w:szCs w:val="18"/>
        </w:rPr>
        <w:t xml:space="preserve">§17.4.f  </w:t>
      </w:r>
      <w:r>
        <w:rPr>
          <w:rFonts w:ascii="Garamond" w:cs="Garamond" w:eastAsia="Garamond" w:hAnsi="Garamond"/>
          <w:b/>
          <w:bCs/>
          <w:color w:val="1B2A4A"/>
          <w:sz w:val="22"/>
          <w:szCs w:val="22"/>
        </w:rPr>
        <w:t xml:space="preserve">Admission of New Trust Lands</w:t>
      </w:r>
    </w:p>
    <w:p>
      <w:pPr>
        <w:spacing w:after="120" w:before="0"/>
        <w:ind w:left="863"/>
        <w:jc w:val="both"/>
      </w:pPr>
      <w:r>
        <w:rPr>
          <w:rFonts w:ascii="Garamond" w:cs="Garamond" w:eastAsia="Garamond" w:hAnsi="Garamond"/>
          <w:color w:val="2a2520"/>
          <w:sz w:val="22"/>
          <w:szCs w:val="22"/>
        </w:rPr>
        <w:t xml:space="preserve">Land may be designated National Trust by a 2/3 vote of both chambers with host State consent (land in Territories: 2/3 vote alone). No executive action may designate Trust lands — designation is a legislative act. Prevents executive land grabs under Trust designation and executive stripping of Trust status.</w:t>
      </w:r>
    </w:p>
    <w:p>
      <w:pPr>
        <w:spacing w:after="60" w:before="200"/>
        <w:ind w:left="863"/>
      </w:pPr>
      <w:r>
        <w:rPr>
          <w:rFonts w:ascii="Courier New" w:cs="Courier New" w:eastAsia="Courier New" w:hAnsi="Courier New"/>
          <w:b/>
          <w:bCs/>
          <w:color w:val="1B2A4A"/>
          <w:sz w:val="18"/>
          <w:szCs w:val="18"/>
        </w:rPr>
        <w:t xml:space="preserve">§17.4.g  </w:t>
      </w:r>
      <w:r>
        <w:rPr>
          <w:rFonts w:ascii="Garamond" w:cs="Garamond" w:eastAsia="Garamond" w:hAnsi="Garamond"/>
          <w:b/>
          <w:bCs/>
          <w:color w:val="1B2A4A"/>
          <w:sz w:val="22"/>
          <w:szCs w:val="22"/>
        </w:rPr>
        <w:t xml:space="preserve">National Trust Administrator</w:t>
      </w:r>
    </w:p>
    <w:p>
      <w:pPr>
        <w:spacing w:after="120" w:before="0"/>
        <w:ind w:left="863"/>
        <w:jc w:val="both"/>
      </w:pPr>
      <w:r>
        <w:rPr>
          <w:rFonts w:ascii="Garamond" w:cs="Garamond" w:eastAsia="Garamond" w:hAnsi="Garamond"/>
          <w:color w:val="2a2520"/>
          <w:sz w:val="22"/>
          <w:szCs w:val="22"/>
        </w:rPr>
        <w:t xml:space="preserve">The NTA is a statutory independent officer under §3.7 — the legislature creates the office by statute and calibrates its independence, term, and removal grounds through the enabling statute. The constitutional protections that matter for the Trust are in §17.4.a–f: the trust nature, the 65% referendum threshold for reclassification, the stewardship obligation, the EI's annual compliance monitoring. The Administrator is an operational role whose independence is appropriately protected by §3.7 rather than requiring the full constitutional appointment machinery. The enabling statute may not reduce the stewardship obligations or the EI monitoring.</w:t>
      </w:r>
    </w:p>
    <w:p>
      <w:pPr>
        <w:spacing w:after="60" w:before="200"/>
        <w:ind w:left="431"/>
      </w:pPr>
      <w:r>
        <w:rPr>
          <w:rFonts w:ascii="Courier New" w:cs="Courier New" w:eastAsia="Courier New" w:hAnsi="Courier New"/>
          <w:b/>
          <w:bCs/>
          <w:color w:val="1B2A4A"/>
          <w:sz w:val="18"/>
          <w:szCs w:val="18"/>
        </w:rPr>
        <w:t xml:space="preserve">§17.5  </w:t>
      </w:r>
      <w:r>
        <w:rPr>
          <w:rFonts w:ascii="Garamond" w:cs="Garamond" w:eastAsia="Garamond" w:hAnsi="Garamond"/>
          <w:b/>
          <w:bCs/>
          <w:color w:val="1B2A4A"/>
          <w:sz w:val="22"/>
          <w:szCs w:val="22"/>
        </w:rPr>
        <w:t xml:space="preserve">Federal Property in Territories</w:t>
      </w:r>
    </w:p>
    <w:p>
      <w:pPr>
        <w:spacing w:after="120" w:before="0"/>
        <w:ind w:left="431"/>
        <w:jc w:val="both"/>
      </w:pPr>
      <w:r>
        <w:rPr>
          <w:rFonts w:ascii="Garamond" w:cs="Garamond" w:eastAsia="Garamond" w:hAnsi="Garamond"/>
          <w:color w:val="2a2520"/>
          <w:sz w:val="22"/>
          <w:szCs w:val="22"/>
        </w:rPr>
        <w:t xml:space="preserve">Federal use rights in Territories follow the same framework as in States — Operational Use Rights (§17.3) and National Trust (§17.4) — without requiring host State legislative consent (Territories have no State legislature). The Territory's representative body and the LI are consulted. Same constitutional principles; consent mechanism adapts to the Territory's structure.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XVIII — Campaign Finance</w:t>
      </w:r>
    </w:p>
    <w:p>
      <w:pPr>
        <w:spacing w:after="120"/>
      </w:pPr>
    </w:p>
    <w:p>
      <w:pPr>
        <w:spacing w:after="60" w:before="200"/>
        <w:ind w:left="863"/>
      </w:pPr>
      <w:r>
        <w:rPr>
          <w:rFonts w:ascii="Courier New" w:cs="Courier New" w:eastAsia="Courier New" w:hAnsi="Courier New"/>
          <w:b/>
          <w:bCs/>
          <w:color w:val="1B2A4A"/>
          <w:sz w:val="18"/>
          <w:szCs w:val="18"/>
        </w:rPr>
        <w:t xml:space="preserve">§18.1.a  </w:t>
      </w:r>
      <w:r>
        <w:rPr>
          <w:rFonts w:ascii="Garamond" w:cs="Garamond" w:eastAsia="Garamond" w:hAnsi="Garamond"/>
          <w:b/>
          <w:bCs/>
          <w:color w:val="1B2A4A"/>
          <w:sz w:val="22"/>
          <w:szCs w:val="22"/>
        </w:rPr>
        <w:t xml:space="preserve">Financial Contributions as Electoral Acts</w:t>
      </w:r>
    </w:p>
    <w:p>
      <w:pPr>
        <w:spacing w:after="120" w:before="0"/>
        <w:ind w:left="863"/>
        <w:jc w:val="both"/>
      </w:pPr>
      <w:r>
        <w:rPr>
          <w:rFonts w:ascii="Garamond" w:cs="Garamond" w:eastAsia="Garamond" w:hAnsi="Garamond"/>
          <w:color w:val="2a2520"/>
          <w:sz w:val="22"/>
          <w:szCs w:val="22"/>
        </w:rPr>
        <w:t xml:space="preserve">Electoral Finance Disclosure — all contributions above the de minimis threshold must be publicly disclosed to the Electoral Commission and published to the NRS. Anonymity in electoral finance is prohibited. The de minimis threshold may not be set so high that it effectively permits anonymous large-scale contributions.</w:t>
      </w:r>
    </w:p>
    <w:p>
      <w:pPr>
        <w:spacing w:after="60" w:before="200"/>
        <w:ind w:left="863"/>
      </w:pPr>
      <w:r>
        <w:rPr>
          <w:rFonts w:ascii="Courier New" w:cs="Courier New" w:eastAsia="Courier New" w:hAnsi="Courier New"/>
          <w:b/>
          <w:bCs/>
          <w:color w:val="1B2A4A"/>
          <w:sz w:val="18"/>
          <w:szCs w:val="18"/>
        </w:rPr>
        <w:t xml:space="preserve">§18.1.b  </w:t>
      </w:r>
      <w:r>
        <w:rPr>
          <w:rFonts w:ascii="Garamond" w:cs="Garamond" w:eastAsia="Garamond" w:hAnsi="Garamond"/>
          <w:b/>
          <w:bCs/>
          <w:color w:val="1B2A4A"/>
          <w:sz w:val="22"/>
          <w:szCs w:val="22"/>
        </w:rPr>
        <w:t xml:space="preserve">Natural Persons Only</w:t>
      </w:r>
    </w:p>
    <w:p>
      <w:pPr>
        <w:spacing w:after="120" w:before="0"/>
        <w:ind w:left="863"/>
        <w:jc w:val="both"/>
      </w:pPr>
      <w:r>
        <w:rPr>
          <w:rFonts w:ascii="Garamond" w:cs="Garamond" w:eastAsia="Garamond" w:hAnsi="Garamond"/>
          <w:color w:val="2a2520"/>
          <w:sz w:val="22"/>
          <w:szCs w:val="22"/>
        </w:rPr>
        <w:t xml:space="preserve">Contribution Limits — 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863"/>
      </w:pPr>
      <w:r>
        <w:rPr>
          <w:rFonts w:ascii="Courier New" w:cs="Courier New" w:eastAsia="Courier New" w:hAnsi="Courier New"/>
          <w:b/>
          <w:bCs/>
          <w:color w:val="1B2A4A"/>
          <w:sz w:val="18"/>
          <w:szCs w:val="18"/>
        </w:rPr>
        <w:t xml:space="preserve">§18.1.c  </w:t>
      </w:r>
      <w:r>
        <w:rPr>
          <w:rFonts w:ascii="Garamond" w:cs="Garamond" w:eastAsia="Garamond" w:hAnsi="Garamond"/>
          <w:b/>
          <w:bCs/>
          <w:color w:val="1B2A4A"/>
          <w:sz w:val="22"/>
          <w:szCs w:val="22"/>
        </w:rPr>
        <w:t xml:space="preserve">Voter-Donor Parity</w:t>
      </w:r>
    </w:p>
    <w:p>
      <w:pPr>
        <w:spacing w:after="120" w:before="0"/>
        <w:ind w:left="863"/>
        <w:jc w:val="both"/>
      </w:pPr>
      <w:r>
        <w:rPr>
          <w:rFonts w:ascii="Garamond" w:cs="Garamond" w:eastAsia="Garamond" w:hAnsi="Garamond"/>
          <w:color w:val="2a2520"/>
          <w:sz w:val="22"/>
          <w:szCs w:val="22"/>
        </w:rPr>
        <w:t xml:space="preserve">Independent Expenditure Disclosure — 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863"/>
      </w:pPr>
      <w:r>
        <w:rPr>
          <w:rFonts w:ascii="Courier New" w:cs="Courier New" w:eastAsia="Courier New" w:hAnsi="Courier New"/>
          <w:b/>
          <w:bCs/>
          <w:color w:val="1B2A4A"/>
          <w:sz w:val="18"/>
          <w:szCs w:val="18"/>
        </w:rPr>
        <w:t xml:space="preserve">§18.1.d  </w:t>
      </w:r>
      <w:r>
        <w:rPr>
          <w:rFonts w:ascii="Garamond" w:cs="Garamond" w:eastAsia="Garamond" w:hAnsi="Garamond"/>
          <w:b/>
          <w:bCs/>
          <w:color w:val="1B2A4A"/>
          <w:sz w:val="22"/>
          <w:szCs w:val="22"/>
        </w:rPr>
        <w:t xml:space="preserve">Full Disclosure</w:t>
      </w:r>
    </w:p>
    <w:p>
      <w:pPr>
        <w:spacing w:after="120" w:before="0"/>
        <w:ind w:left="863"/>
        <w:jc w:val="both"/>
      </w:pPr>
      <w:r>
        <w:rPr>
          <w:rFonts w:ascii="Garamond" w:cs="Garamond" w:eastAsia="Garamond" w:hAnsi="Garamond"/>
          <w:color w:val="2a2520"/>
          <w:sz w:val="22"/>
          <w:szCs w:val="22"/>
        </w:rPr>
        <w:t xml:space="preserve">EC Administration — the Electoral Commission administers all electoral finance rules, reviews all disclosed contributions, publishes all disclosures to the NRS, and investigates suspected violations. The EI audits EC administration annually. Candidates who receive impermissible contributions must report them within 10 days and either return them or have them treated as undisclosed.</w:t>
      </w:r>
    </w:p>
    <w:p>
      <w:pPr>
        <w:spacing w:after="60" w:before="200"/>
        <w:ind w:left="863"/>
      </w:pPr>
      <w:r>
        <w:rPr>
          <w:rFonts w:ascii="Courier New" w:cs="Courier New" w:eastAsia="Courier New" w:hAnsi="Courier New"/>
          <w:b/>
          <w:bCs/>
          <w:color w:val="1B2A4A"/>
          <w:sz w:val="18"/>
          <w:szCs w:val="18"/>
        </w:rPr>
        <w:t xml:space="preserve">§18.2.a  </w:t>
      </w:r>
      <w:r>
        <w:rPr>
          <w:rFonts w:ascii="Garamond" w:cs="Garamond" w:eastAsia="Garamond" w:hAnsi="Garamond"/>
          <w:b/>
          <w:bCs/>
          <w:color w:val="1B2A4A"/>
          <w:sz w:val="22"/>
          <w:szCs w:val="22"/>
        </w:rPr>
        <w:t xml:space="preserve">Qualification Threshold</w:t>
      </w:r>
    </w:p>
    <w:p>
      <w:pPr>
        <w:spacing w:after="120" w:before="0"/>
        <w:ind w:left="863"/>
        <w:jc w:val="both"/>
      </w:pPr>
      <w:r>
        <w:rPr>
          <w:rFonts w:ascii="Garamond" w:cs="Garamond" w:eastAsia="Garamond" w:hAnsi="Garamond"/>
          <w:color w:val="2a2520"/>
          <w:sz w:val="22"/>
          <w:szCs w:val="22"/>
        </w:rPr>
        <w:t xml:space="preserve">Campaign Conduct Standards — 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863"/>
      </w:pPr>
      <w:r>
        <w:rPr>
          <w:rFonts w:ascii="Courier New" w:cs="Courier New" w:eastAsia="Courier New" w:hAnsi="Courier New"/>
          <w:b/>
          <w:bCs/>
          <w:color w:val="1B2A4A"/>
          <w:sz w:val="18"/>
          <w:szCs w:val="18"/>
        </w:rPr>
        <w:t xml:space="preserve">§18.2.b  </w:t>
      </w:r>
      <w:r>
        <w:rPr>
          <w:rFonts w:ascii="Garamond" w:cs="Garamond" w:eastAsia="Garamond" w:hAnsi="Garamond"/>
          <w:b/>
          <w:bCs/>
          <w:color w:val="1B2A4A"/>
          <w:sz w:val="22"/>
          <w:szCs w:val="22"/>
        </w:rPr>
        <w:t xml:space="preserve">Adequate Allocation</w:t>
      </w:r>
    </w:p>
    <w:p>
      <w:pPr>
        <w:spacing w:after="120" w:before="0"/>
        <w:ind w:left="863"/>
        <w:jc w:val="both"/>
      </w:pPr>
      <w:r>
        <w:rPr>
          <w:rFonts w:ascii="Garamond" w:cs="Garamond" w:eastAsia="Garamond" w:hAnsi="Garamond"/>
          <w:color w:val="2a2520"/>
          <w:sz w:val="22"/>
          <w:szCs w:val="22"/>
        </w:rPr>
        <w:t xml:space="preserve">Media and Communication Standards — campaign communications must clearly identify their sponsor. Fabricated or deceptively edited communications about other candidates are prohibited. Violations are reportable to the EI and may result in contribution return orders.</w:t>
      </w:r>
    </w:p>
    <w:p>
      <w:pPr>
        <w:spacing w:after="60" w:before="200"/>
        <w:ind w:left="863"/>
      </w:pPr>
      <w:r>
        <w:rPr>
          <w:rFonts w:ascii="Courier New" w:cs="Courier New" w:eastAsia="Courier New" w:hAnsi="Courier New"/>
          <w:b/>
          <w:bCs/>
          <w:color w:val="1B2A4A"/>
          <w:sz w:val="18"/>
          <w:szCs w:val="18"/>
        </w:rPr>
        <w:t xml:space="preserve">§18.2.c  </w:t>
      </w:r>
      <w:r>
        <w:rPr>
          <w:rFonts w:ascii="Garamond" w:cs="Garamond" w:eastAsia="Garamond" w:hAnsi="Garamond"/>
          <w:b/>
          <w:bCs/>
          <w:color w:val="1B2A4A"/>
          <w:sz w:val="22"/>
          <w:szCs w:val="22"/>
        </w:rPr>
        <w:t xml:space="preserve">Optional Participation</w:t>
      </w:r>
    </w:p>
    <w:p>
      <w:pPr>
        <w:spacing w:after="120" w:before="0"/>
        <w:ind w:left="863"/>
        <w:jc w:val="both"/>
      </w:pPr>
      <w:r>
        <w:rPr>
          <w:rFonts w:ascii="Garamond" w:cs="Garamond" w:eastAsia="Garamond" w:hAnsi="Garamond"/>
          <w:color w:val="2a2520"/>
          <w:sz w:val="22"/>
          <w:szCs w:val="22"/>
        </w:rPr>
        <w:t xml:space="preserve">Foreign Interference — any attempt by a foreign government, foreign national, or foreign-controlled entity to influence a Republic election is a constitutional breach. Both the EI and the President's intelligence domain have concurrent obligations to monitor and report foreign electoral interference. The EC must publish any credible foreign interference finding to the NRS within 24 hours of identification.</w:t>
      </w:r>
    </w:p>
    <w:p>
      <w:pPr>
        <w:spacing w:after="60" w:before="200"/>
        <w:ind w:left="863"/>
      </w:pPr>
      <w:r>
        <w:rPr>
          <w:rFonts w:ascii="Courier New" w:cs="Courier New" w:eastAsia="Courier New" w:hAnsi="Courier New"/>
          <w:b/>
          <w:bCs/>
          <w:color w:val="1B2A4A"/>
          <w:sz w:val="18"/>
          <w:szCs w:val="18"/>
        </w:rPr>
        <w:t xml:space="preserve">§18.2.d  </w:t>
      </w:r>
      <w:r>
        <w:rPr>
          <w:rFonts w:ascii="Garamond" w:cs="Garamond" w:eastAsia="Garamond" w:hAnsi="Garamond"/>
          <w:b/>
          <w:bCs/>
          <w:color w:val="1B2A4A"/>
          <w:sz w:val="22"/>
          <w:szCs w:val="22"/>
        </w:rPr>
        <w:t xml:space="preserve">EC Administration</w:t>
      </w:r>
    </w:p>
    <w:p>
      <w:pPr>
        <w:spacing w:after="120" w:before="0"/>
        <w:ind w:left="863"/>
        <w:jc w:val="both"/>
      </w:pPr>
      <w:r>
        <w:rPr>
          <w:rFonts w:ascii="Garamond" w:cs="Garamond" w:eastAsia="Garamond" w:hAnsi="Garamond"/>
          <w:color w:val="2a2520"/>
          <w:sz w:val="22"/>
          <w:szCs w:val="22"/>
        </w:rPr>
        <w:t xml:space="preserve">Incumbent Advantage Rules — constitutional officeholders standing for election in a different race must observe strict separation between their official functions and their campaign activities. Official resources — staff, communications, facilities — may not be used for campaign purposes. The EI audits incumbent campaigns for compliance.</w:t>
      </w:r>
    </w:p>
    <w:p>
      <w:pPr>
        <w:spacing w:after="60" w:before="200"/>
        <w:ind w:left="863"/>
      </w:pPr>
      <w:r>
        <w:rPr>
          <w:rFonts w:ascii="Courier New" w:cs="Courier New" w:eastAsia="Courier New" w:hAnsi="Courier New"/>
          <w:b/>
          <w:bCs/>
          <w:color w:val="1B2A4A"/>
          <w:sz w:val="18"/>
          <w:szCs w:val="18"/>
        </w:rPr>
        <w:t xml:space="preserve">§18.3.a  </w:t>
      </w:r>
      <w:r>
        <w:rPr>
          <w:rFonts w:ascii="Garamond" w:cs="Garamond" w:eastAsia="Garamond" w:hAnsi="Garamond"/>
          <w:b/>
          <w:bCs/>
          <w:color w:val="1B2A4A"/>
          <w:sz w:val="22"/>
          <w:szCs w:val="22"/>
        </w:rPr>
        <w:t xml:space="preserve">Separation from the Voting System</w:t>
      </w:r>
    </w:p>
    <w:p>
      <w:pPr>
        <w:spacing w:after="120" w:before="0"/>
        <w:ind w:left="863"/>
        <w:jc w:val="both"/>
      </w:pPr>
      <w:r>
        <w:rPr>
          <w:rFonts w:ascii="Garamond" w:cs="Garamond" w:eastAsia="Garamond" w:hAnsi="Garamond"/>
          <w:color w:val="2a2520"/>
          <w:sz w:val="22"/>
          <w:szCs w:val="22"/>
        </w:rPr>
        <w:t xml:space="preserve">Public Campaign Financing Structure — consistent with §10.3.a, the public financing system provides all registered candidates with equal baseline funding. Candidates who opt into the public system accept the contribution cap in exchange for public funding. Candidates who opt out may raise private contributions but must comply with all disclosure and contribution limit requirements.</w:t>
      </w:r>
    </w:p>
    <w:p>
      <w:pPr>
        <w:spacing w:after="60" w:before="200"/>
        <w:ind w:left="863"/>
      </w:pPr>
      <w:r>
        <w:rPr>
          <w:rFonts w:ascii="Courier New" w:cs="Courier New" w:eastAsia="Courier New" w:hAnsi="Courier New"/>
          <w:b/>
          <w:bCs/>
          <w:color w:val="1B2A4A"/>
          <w:sz w:val="18"/>
          <w:szCs w:val="18"/>
        </w:rPr>
        <w:t xml:space="preserve">§18.3.b  </w:t>
      </w:r>
      <w:r>
        <w:rPr>
          <w:rFonts w:ascii="Garamond" w:cs="Garamond" w:eastAsia="Garamond" w:hAnsi="Garamond"/>
          <w:b/>
          <w:bCs/>
          <w:color w:val="1B2A4A"/>
          <w:sz w:val="22"/>
          <w:szCs w:val="22"/>
        </w:rPr>
        <w:t xml:space="preserve">Registry Contents</w:t>
      </w:r>
    </w:p>
    <w:p>
      <w:pPr>
        <w:spacing w:after="120" w:before="0"/>
        <w:ind w:left="863"/>
        <w:jc w:val="both"/>
      </w:pPr>
      <w:r>
        <w:rPr>
          <w:rFonts w:ascii="Garamond" w:cs="Garamond" w:eastAsia="Garamond" w:hAnsi="Garamond"/>
          <w:color w:val="2a2520"/>
          <w:sz w:val="22"/>
          <w:szCs w:val="22"/>
        </w:rPr>
        <w:t xml:space="preserve">Matching Funds — the Legislature may by statute create a matching funds component providing additional public funds that match small contributions from citizens. Matching funds incentivize broad citizen participation in campaign financing rather than reliance on a small number of large donors.</w:t>
      </w:r>
    </w:p>
    <w:p>
      <w:pPr>
        <w:spacing w:after="60" w:before="200"/>
        <w:ind w:left="863"/>
      </w:pPr>
      <w:r>
        <w:rPr>
          <w:rFonts w:ascii="Courier New" w:cs="Courier New" w:eastAsia="Courier New" w:hAnsi="Courier New"/>
          <w:b/>
          <w:bCs/>
          <w:color w:val="1B2A4A"/>
          <w:sz w:val="18"/>
          <w:szCs w:val="18"/>
        </w:rPr>
        <w:t xml:space="preserve">§18.3.c  </w:t>
      </w:r>
      <w:r>
        <w:rPr>
          <w:rFonts w:ascii="Garamond" w:cs="Garamond" w:eastAsia="Garamond" w:hAnsi="Garamond"/>
          <w:b/>
          <w:bCs/>
          <w:color w:val="1B2A4A"/>
          <w:sz w:val="22"/>
          <w:szCs w:val="22"/>
        </w:rPr>
        <w:t xml:space="preserve">Aggregate Attribution</w:t>
      </w:r>
    </w:p>
    <w:p>
      <w:pPr>
        <w:spacing w:after="120" w:before="0"/>
        <w:ind w:left="863"/>
        <w:jc w:val="both"/>
      </w:pPr>
      <w:r>
        <w:rPr>
          <w:rFonts w:ascii="Garamond" w:cs="Garamond" w:eastAsia="Garamond" w:hAnsi="Garamond"/>
          <w:color w:val="2a2520"/>
          <w:sz w:val="22"/>
          <w:szCs w:val="22"/>
        </w:rPr>
        <w:t xml:space="preserve">EC Allocation of Public Funds — the EC allocates public campaign funds based on objective criteria published before each election cycle. Allocation criteria may not be set in a way that systematically advantages incumbents or established parties.</w:t>
      </w:r>
    </w:p>
    <w:p>
      <w:pPr>
        <w:spacing w:after="60" w:before="200"/>
        <w:ind w:left="863"/>
      </w:pPr>
      <w:r>
        <w:rPr>
          <w:rFonts w:ascii="Courier New" w:cs="Courier New" w:eastAsia="Courier New" w:hAnsi="Courier New"/>
          <w:b/>
          <w:bCs/>
          <w:color w:val="1B2A4A"/>
          <w:sz w:val="18"/>
          <w:szCs w:val="18"/>
        </w:rPr>
        <w:t xml:space="preserve">§18.3.d  </w:t>
      </w:r>
      <w:r>
        <w:rPr>
          <w:rFonts w:ascii="Garamond" w:cs="Garamond" w:eastAsia="Garamond" w:hAnsi="Garamond"/>
          <w:b/>
          <w:bCs/>
          <w:color w:val="1B2A4A"/>
          <w:sz w:val="22"/>
          <w:szCs w:val="22"/>
        </w:rPr>
        <w:t xml:space="preserve">Administration</w:t>
      </w:r>
    </w:p>
    <w:p>
      <w:pPr>
        <w:spacing w:after="120" w:before="0"/>
        <w:ind w:left="863"/>
        <w:jc w:val="both"/>
      </w:pPr>
      <w:r>
        <w:rPr>
          <w:rFonts w:ascii="Garamond" w:cs="Garamond" w:eastAsia="Garamond" w:hAnsi="Garamond"/>
          <w:color w:val="2a2520"/>
          <w:sz w:val="22"/>
          <w:szCs w:val="22"/>
        </w:rPr>
        <w:t xml:space="preserve">Financial contributions to electoral campaigns are not constitutionally protected speech under §1.4, and are not protected as associational activity under §1.7. The regulation of electoral finance is a matter of democratic integrity explicitly reserved from both speech and associational protection. One of the most direct rejections of Citizens United reasoning in the document.</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XIX — Transition</w:t>
      </w:r>
    </w:p>
    <w:p>
      <w:pPr>
        <w:spacing w:after="120"/>
      </w:pPr>
    </w:p>
    <w:p>
      <w:pPr>
        <w:spacing w:after="60" w:before="200"/>
        <w:ind w:left="431"/>
      </w:pPr>
      <w:r>
        <w:rPr>
          <w:rFonts w:ascii="Courier New" w:cs="Courier New" w:eastAsia="Courier New" w:hAnsi="Courier New"/>
          <w:b/>
          <w:bCs/>
          <w:color w:val="1B2A4A"/>
          <w:sz w:val="18"/>
          <w:szCs w:val="18"/>
        </w:rPr>
        <w:t xml:space="preserve">§19.1  </w:t>
      </w:r>
      <w:r>
        <w:rPr>
          <w:rFonts w:ascii="Garamond" w:cs="Garamond" w:eastAsia="Garamond" w:hAnsi="Garamond"/>
          <w:b/>
          <w:bCs/>
          <w:color w:val="1B2A4A"/>
          <w:sz w:val="22"/>
          <w:szCs w:val="22"/>
        </w:rPr>
        <w:t xml:space="preserve">The Activation Threshold</w:t>
      </w:r>
    </w:p>
    <w:p>
      <w:pPr>
        <w:spacing w:after="120" w:before="0"/>
        <w:ind w:left="431"/>
        <w:jc w:val="both"/>
      </w:pPr>
      <w:r>
        <w:rPr>
          <w:rFonts w:ascii="Garamond" w:cs="Garamond" w:eastAsia="Garamond" w:hAnsi="Garamond"/>
          <w:color w:val="2a2520"/>
          <w:sz w:val="22"/>
          <w:szCs w:val="22"/>
        </w:rPr>
        <w:t xml:space="preserve">Three subsections after v145 restructuring: activation threshold (§19.1.a), institutional accommodation for existing legal structures (§19.1.b), and multi-founder formation for sovereign nations pooling sovereignty (§19.1.c). Previously a single wall-of-text paragraph — restructuring makes §19.1 readable without changing any substantive content.</w:t>
      </w:r>
    </w:p>
    <w:p>
      <w:pPr>
        <w:spacing w:after="60" w:before="200"/>
        <w:ind w:left="863"/>
      </w:pPr>
      <w:r>
        <w:rPr>
          <w:rFonts w:ascii="Courier New" w:cs="Courier New" w:eastAsia="Courier New" w:hAnsi="Courier New"/>
          <w:b/>
          <w:bCs/>
          <w:color w:val="1B2A4A"/>
          <w:sz w:val="18"/>
          <w:szCs w:val="18"/>
        </w:rPr>
        <w:t xml:space="preserve">§19.1.a  </w:t>
      </w:r>
      <w:r>
        <w:rPr>
          <w:rFonts w:ascii="Garamond" w:cs="Garamond" w:eastAsia="Garamond" w:hAnsi="Garamond"/>
          <w:b/>
          <w:bCs/>
          <w:color w:val="1B2A4A"/>
          <w:sz w:val="22"/>
          <w:szCs w:val="22"/>
        </w:rPr>
        <w:t xml:space="preserve">Activation Threshold</w:t>
      </w:r>
    </w:p>
    <w:p>
      <w:pPr>
        <w:spacing w:after="120" w:before="0"/>
        <w:ind w:left="863"/>
        <w:jc w:val="both"/>
      </w:pPr>
      <w:r>
        <w:rPr>
          <w:rFonts w:ascii="Garamond" w:cs="Garamond" w:eastAsia="Garamond" w:hAnsi="Garamond"/>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w:t>
      </w:r>
    </w:p>
    <w:p>
      <w:pPr>
        <w:spacing w:after="60" w:before="200"/>
        <w:ind w:left="863"/>
      </w:pPr>
      <w:r>
        <w:rPr>
          <w:rFonts w:ascii="Courier New" w:cs="Courier New" w:eastAsia="Courier New" w:hAnsi="Courier New"/>
          <w:b/>
          <w:bCs/>
          <w:color w:val="1B2A4A"/>
          <w:sz w:val="18"/>
          <w:szCs w:val="18"/>
        </w:rPr>
        <w:t xml:space="preserve">§19.1.b  </w:t>
      </w:r>
      <w:r>
        <w:rPr>
          <w:rFonts w:ascii="Garamond" w:cs="Garamond" w:eastAsia="Garamond" w:hAnsi="Garamond"/>
          <w:b/>
          <w:bCs/>
          <w:color w:val="1B2A4A"/>
          <w:sz w:val="22"/>
          <w:szCs w:val="22"/>
        </w:rPr>
        <w:t xml:space="preserve">Institutional Accommodation</w:t>
      </w:r>
    </w:p>
    <w:p>
      <w:pPr>
        <w:spacing w:after="120" w:before="0"/>
        <w:ind w:left="863"/>
        <w:jc w:val="both"/>
      </w:pPr>
      <w:r>
        <w:rPr>
          <w:rFonts w:ascii="Garamond" w:cs="Garamond" w:eastAsia="Garamond" w:hAnsi="Garamond"/>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863"/>
      </w:pPr>
      <w:r>
        <w:rPr>
          <w:rFonts w:ascii="Courier New" w:cs="Courier New" w:eastAsia="Courier New" w:hAnsi="Courier New"/>
          <w:b/>
          <w:bCs/>
          <w:color w:val="1B2A4A"/>
          <w:sz w:val="18"/>
          <w:szCs w:val="18"/>
        </w:rPr>
        <w:t xml:space="preserve">§19.1.c  </w:t>
      </w:r>
      <w:r>
        <w:rPr>
          <w:rFonts w:ascii="Garamond" w:cs="Garamond" w:eastAsia="Garamond" w:hAnsi="Garamond"/>
          <w:b/>
          <w:bCs/>
          <w:color w:val="1B2A4A"/>
          <w:sz w:val="22"/>
          <w:szCs w:val="22"/>
        </w:rPr>
        <w:t xml:space="preserve">Multi-Founder Formation</w:t>
      </w:r>
    </w:p>
    <w:p>
      <w:pPr>
        <w:spacing w:after="120" w:before="0"/>
        <w:ind w:left="863"/>
        <w:jc w:val="both"/>
      </w:pPr>
      <w:r>
        <w:rPr>
          <w:rFonts w:ascii="Garamond" w:cs="Garamond" w:eastAsia="Garamond" w:hAnsi="Garamond"/>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pPr>
      <w:r>
        <w:rPr>
          <w:rFonts w:ascii="Courier New" w:cs="Courier New" w:eastAsia="Courier New" w:hAnsi="Courier New"/>
          <w:b/>
          <w:bCs/>
          <w:color w:val="1B2A4A"/>
          <w:sz w:val="18"/>
          <w:szCs w:val="18"/>
        </w:rPr>
        <w:t xml:space="preserve">§19.2  </w:t>
      </w:r>
      <w:r>
        <w:rPr>
          <w:rFonts w:ascii="Garamond" w:cs="Garamond" w:eastAsia="Garamond" w:hAnsi="Garamond"/>
          <w:b/>
          <w:bCs/>
          <w:color w:val="1B2A4A"/>
          <w:sz w:val="22"/>
          <w:szCs w:val="22"/>
        </w:rPr>
        <w:t xml:space="preserve">Day Zero</w:t>
      </w:r>
    </w:p>
    <w:p>
      <w:pPr>
        <w:spacing w:after="120" w:before="0"/>
        <w:ind w:left="431"/>
        <w:jc w:val="both"/>
      </w:pPr>
      <w:r>
        <w:rPr>
          <w:rFonts w:ascii="Garamond" w:cs="Garamond" w:eastAsia="Garamond" w:hAnsi="Garamond"/>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w:t>
      </w:r>
    </w:p>
    <w:p>
      <w:pPr>
        <w:spacing w:after="60" w:before="200"/>
        <w:ind w:left="431"/>
      </w:pPr>
      <w:r>
        <w:rPr>
          <w:rFonts w:ascii="Courier New" w:cs="Courier New" w:eastAsia="Courier New" w:hAnsi="Courier New"/>
          <w:b/>
          <w:bCs/>
          <w:color w:val="1B2A4A"/>
          <w:sz w:val="18"/>
          <w:szCs w:val="18"/>
        </w:rPr>
        <w:t xml:space="preserve">§19.3  </w:t>
      </w:r>
      <w:r>
        <w:rPr>
          <w:rFonts w:ascii="Garamond" w:cs="Garamond" w:eastAsia="Garamond" w:hAnsi="Garamond"/>
          <w:b/>
          <w:bCs/>
          <w:color w:val="1B2A4A"/>
          <w:sz w:val="22"/>
          <w:szCs w:val="22"/>
        </w:rPr>
        <w:t xml:space="preserve">The Four-Phase Transition</w:t>
      </w:r>
    </w:p>
    <w:p>
      <w:pPr>
        <w:spacing w:after="120" w:before="0"/>
        <w:ind w:left="431"/>
        <w:jc w:val="both"/>
      </w:pPr>
      <w:r>
        <w:rPr>
          <w:rFonts w:ascii="Garamond" w:cs="Garamond" w:eastAsia="Garamond" w:hAnsi="Garamond"/>
          <w:color w:val="2a2520"/>
          <w:sz w:val="22"/>
          <w:szCs w:val="22"/>
        </w:rPr>
        <w:t xml:space="preserve">24-month, four-phase process. Seven provisions: Phase 0 pre-ratification preparation (§19.3.a), Phase 1 emergency stabilisation Days 1-90 (§19.3.b), Phase 2 institutional construction Days 91-270 (§19.3.c), Phase 3 first elections Days 271-450 (§19.3.d), Phase 4 full operation (§19.3.e), provisional NRS authority (§19.3.f), and phase extension mechanism (§19.3.g, new v143).</w:t>
      </w:r>
    </w:p>
    <w:p>
      <w:pPr>
        <w:spacing w:after="60" w:before="200"/>
        <w:ind w:left="863"/>
      </w:pPr>
      <w:r>
        <w:rPr>
          <w:rFonts w:ascii="Courier New" w:cs="Courier New" w:eastAsia="Courier New" w:hAnsi="Courier New"/>
          <w:b/>
          <w:bCs/>
          <w:color w:val="1B2A4A"/>
          <w:sz w:val="18"/>
          <w:szCs w:val="18"/>
        </w:rPr>
        <w:t xml:space="preserve">§19.3.a  </w:t>
      </w:r>
      <w:r>
        <w:rPr>
          <w:rFonts w:ascii="Garamond" w:cs="Garamond" w:eastAsia="Garamond" w:hAnsi="Garamond"/>
          <w:b/>
          <w:bCs/>
          <w:color w:val="1B2A4A"/>
          <w:sz w:val="22"/>
          <w:szCs w:val="22"/>
        </w:rPr>
        <w:t xml:space="preserve">Phase 0 — Pre-Ratification Preparation</w:t>
      </w:r>
    </w:p>
    <w:p>
      <w:pPr>
        <w:spacing w:after="120" w:before="0"/>
        <w:ind w:left="863"/>
        <w:jc w:val="both"/>
      </w:pPr>
      <w:r>
        <w:rPr>
          <w:rFonts w:ascii="Garamond" w:cs="Garamond" w:eastAsia="Garamond" w:hAnsi="Garamond"/>
          <w:color w:val="2a2520"/>
          <w:sz w:val="22"/>
          <w:szCs w:val="22"/>
        </w:rPr>
        <w:t xml:space="preserve">Phase 0 is the pre-ratification preparation period. The interim Electoral Commission is constituted, the National Voting System is certified operational, and the joint Inspectorate panel is formed — all before any ratification vote occurs. The Republic's constitutional infrastructure must exist before it can be activated.</w:t>
      </w:r>
    </w:p>
    <w:p>
      <w:pPr>
        <w:spacing w:after="60" w:before="200"/>
        <w:ind w:left="863"/>
      </w:pPr>
      <w:r>
        <w:rPr>
          <w:rFonts w:ascii="Courier New" w:cs="Courier New" w:eastAsia="Courier New" w:hAnsi="Courier New"/>
          <w:b/>
          <w:bCs/>
          <w:color w:val="1B2A4A"/>
          <w:sz w:val="18"/>
          <w:szCs w:val="18"/>
        </w:rPr>
        <w:t xml:space="preserve">§19.3.b  </w:t>
      </w:r>
      <w:r>
        <w:rPr>
          <w:rFonts w:ascii="Garamond" w:cs="Garamond" w:eastAsia="Garamond" w:hAnsi="Garamond"/>
          <w:b/>
          <w:bCs/>
          <w:color w:val="1B2A4A"/>
          <w:sz w:val="22"/>
          <w:szCs w:val="22"/>
        </w:rPr>
        <w:t xml:space="preserve">Phase 1 — Emergency Stabilization (Days 1–90)</w:t>
      </w:r>
    </w:p>
    <w:p>
      <w:pPr>
        <w:spacing w:after="120" w:before="0"/>
        <w:ind w:left="863"/>
        <w:jc w:val="both"/>
      </w:pPr>
      <w:r>
        <w:rPr>
          <w:rFonts w:ascii="Garamond" w:cs="Garamond" w:eastAsia="Garamond" w:hAnsi="Garamond"/>
          <w:color w:val="2a2520"/>
          <w:sz w:val="22"/>
          <w:szCs w:val="22"/>
        </w:rPr>
        <w:t xml:space="preserve">Existing government officials serve as caretakers under §19.4. The joint Inspectorate panel assumes oversight. The NRS begins recording all government acts. Priority functions: Basic Needs Floor delivery continuity, public safety, and essential services. No new permanent legislation. This phase is explicitly temporary — its only mandate is stability while Phase 2 institutional construction begins.</w:t>
      </w:r>
    </w:p>
    <w:p>
      <w:pPr>
        <w:spacing w:after="60" w:before="200"/>
        <w:ind w:left="863"/>
      </w:pPr>
      <w:r>
        <w:rPr>
          <w:rFonts w:ascii="Courier New" w:cs="Courier New" w:eastAsia="Courier New" w:hAnsi="Courier New"/>
          <w:b/>
          <w:bCs/>
          <w:color w:val="1B2A4A"/>
          <w:sz w:val="18"/>
          <w:szCs w:val="18"/>
        </w:rPr>
        <w:t xml:space="preserve">§19.3.c  </w:t>
      </w:r>
      <w:r>
        <w:rPr>
          <w:rFonts w:ascii="Garamond" w:cs="Garamond" w:eastAsia="Garamond" w:hAnsi="Garamond"/>
          <w:b/>
          <w:bCs/>
          <w:color w:val="1B2A4A"/>
          <w:sz w:val="22"/>
          <w:szCs w:val="22"/>
        </w:rPr>
        <w:t xml:space="preserve">Phase 2 — Institutional Construction (Days 91–270)</w:t>
      </w:r>
    </w:p>
    <w:p>
      <w:pPr>
        <w:spacing w:after="120" w:before="0"/>
        <w:ind w:left="863"/>
        <w:jc w:val="both"/>
      </w:pPr>
      <w:r>
        <w:rPr>
          <w:rFonts w:ascii="Garamond" w:cs="Garamond" w:eastAsia="Garamond" w:hAnsi="Garamond"/>
          <w:color w:val="2a2520"/>
          <w:sz w:val="22"/>
          <w:szCs w:val="22"/>
        </w:rPr>
        <w:t xml:space="preserve">Phase 2 (Days 91–270) is Institutional Construction. Statehood Audits are conducted for all entering territories. Inspectorates are formally constituted. The Candidate Register for MA board members and the RSA Director is assembled. Electoral Commission is certified as operational. The National Voting System is fully deployed for citizen registration. Phase 2 ends at Day 270.</w:t>
      </w:r>
    </w:p>
    <w:p>
      <w:pPr>
        <w:spacing w:after="60" w:before="200"/>
        <w:ind w:left="863"/>
      </w:pPr>
      <w:r>
        <w:rPr>
          <w:rFonts w:ascii="Courier New" w:cs="Courier New" w:eastAsia="Courier New" w:hAnsi="Courier New"/>
          <w:b/>
          <w:bCs/>
          <w:color w:val="1B2A4A"/>
          <w:sz w:val="18"/>
          <w:szCs w:val="18"/>
        </w:rPr>
        <w:t xml:space="preserve">§19.3.d  </w:t>
      </w:r>
      <w:r>
        <w:rPr>
          <w:rFonts w:ascii="Garamond" w:cs="Garamond" w:eastAsia="Garamond" w:hAnsi="Garamond"/>
          <w:b/>
          <w:bCs/>
          <w:color w:val="1B2A4A"/>
          <w:sz w:val="22"/>
          <w:szCs w:val="22"/>
        </w:rPr>
        <w:t xml:space="preserve">Phase 3 — First Elections (Days 271–450)</w:t>
      </w:r>
    </w:p>
    <w:p>
      <w:pPr>
        <w:spacing w:after="120" w:before="0"/>
        <w:ind w:left="863"/>
        <w:jc w:val="both"/>
      </w:pPr>
      <w:r>
        <w:rPr>
          <w:rFonts w:ascii="Garamond" w:cs="Garamond" w:eastAsia="Garamond" w:hAnsi="Garamond"/>
          <w:color w:val="2a2520"/>
          <w:sz w:val="22"/>
          <w:szCs w:val="22"/>
        </w:rPr>
        <w:t xml:space="preserve">Phase 3 (Days 271-450) is First Elections. The first National Election Day. Supreme Court justices elected through the open-candidacy judicial selection process. Electoral Commission inaugural elections. Phase 3 ends when the first the Legislature is sworn in and the first executives take office — the moment at which the Republic's constitutional design becomes self-sustaining.</w:t>
      </w:r>
    </w:p>
    <w:p>
      <w:pPr>
        <w:spacing w:after="60" w:before="200"/>
        <w:ind w:left="863"/>
      </w:pPr>
      <w:r>
        <w:rPr>
          <w:rFonts w:ascii="Courier New" w:cs="Courier New" w:eastAsia="Courier New" w:hAnsi="Courier New"/>
          <w:b/>
          <w:bCs/>
          <w:color w:val="1B2A4A"/>
          <w:sz w:val="18"/>
          <w:szCs w:val="18"/>
        </w:rPr>
        <w:t xml:space="preserve">§19.3.e  </w:t>
      </w:r>
      <w:r>
        <w:rPr>
          <w:rFonts w:ascii="Garamond" w:cs="Garamond" w:eastAsia="Garamond" w:hAnsi="Garamond"/>
          <w:b/>
          <w:bCs/>
          <w:color w:val="1B2A4A"/>
          <w:sz w:val="22"/>
          <w:szCs w:val="22"/>
        </w:rPr>
        <w:t xml:space="preserve">Phase 4 — Full Constitutional Operation</w:t>
      </w:r>
    </w:p>
    <w:p>
      <w:pPr>
        <w:spacing w:after="120" w:before="0"/>
        <w:ind w:left="863"/>
        <w:jc w:val="both"/>
      </w:pPr>
      <w:r>
        <w:rPr>
          <w:rFonts w:ascii="Garamond" w:cs="Garamond" w:eastAsia="Garamond" w:hAnsi="Garamond"/>
          <w:color w:val="2a2520"/>
          <w:sz w:val="22"/>
          <w:szCs w:val="22"/>
        </w:rPr>
        <w:t xml:space="preserve">Phase 4 is Full Constitutional Operation — beginning the day the first Legislature convenes and the first executives take the constitutional oath. From Phase 4, all constitutional provisions are fully operative. The 18-month Transition Window concludes at the end of Phase 4.</w:t>
      </w:r>
    </w:p>
    <w:p>
      <w:pPr>
        <w:spacing w:after="60" w:before="200"/>
        <w:ind w:left="431"/>
      </w:pPr>
      <w:r>
        <w:rPr>
          <w:rFonts w:ascii="Courier New" w:cs="Courier New" w:eastAsia="Courier New" w:hAnsi="Courier New"/>
          <w:b/>
          <w:bCs/>
          <w:color w:val="1B2A4A"/>
          <w:sz w:val="18"/>
          <w:szCs w:val="18"/>
        </w:rPr>
        <w:t xml:space="preserve">§19.4  </w:t>
      </w:r>
      <w:r>
        <w:rPr>
          <w:rFonts w:ascii="Garamond" w:cs="Garamond" w:eastAsia="Garamond" w:hAnsi="Garamond"/>
          <w:b/>
          <w:bCs/>
          <w:color w:val="1B2A4A"/>
          <w:sz w:val="22"/>
          <w:szCs w:val="22"/>
        </w:rPr>
        <w:t xml:space="preserve">Caretaker Status</w:t>
      </w:r>
    </w:p>
    <w:p>
      <w:pPr>
        <w:spacing w:after="120" w:before="0"/>
        <w:ind w:left="431"/>
        <w:jc w:val="both"/>
      </w:pPr>
      <w:r>
        <w:rPr>
          <w:rFonts w:ascii="Garamond" w:cs="Garamond" w:eastAsia="Garamond" w:hAnsi="Garamond"/>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 Caretaker status prevents the predecessor government from entrenching itself during transition.</w:t>
      </w:r>
    </w:p>
    <w:p>
      <w:pPr>
        <w:spacing w:after="60" w:before="200"/>
        <w:ind w:left="431"/>
      </w:pPr>
      <w:r>
        <w:rPr>
          <w:rFonts w:ascii="Courier New" w:cs="Courier New" w:eastAsia="Courier New" w:hAnsi="Courier New"/>
          <w:b/>
          <w:bCs/>
          <w:color w:val="1B2A4A"/>
          <w:sz w:val="18"/>
          <w:szCs w:val="18"/>
        </w:rPr>
        <w:t xml:space="preserve">§19.5  </w:t>
      </w:r>
      <w:r>
        <w:rPr>
          <w:rFonts w:ascii="Garamond" w:cs="Garamond" w:eastAsia="Garamond" w:hAnsi="Garamond"/>
          <w:b/>
          <w:bCs/>
          <w:color w:val="1B2A4A"/>
          <w:sz w:val="22"/>
          <w:szCs w:val="22"/>
        </w:rPr>
        <w:t xml:space="preserve">Pre-Constitutional Classified Documents</w:t>
      </w:r>
    </w:p>
    <w:p>
      <w:pPr>
        <w:spacing w:after="120" w:before="0"/>
        <w:ind w:left="431"/>
        <w:jc w:val="both"/>
      </w:pPr>
      <w:r>
        <w:rPr>
          <w:rFonts w:ascii="Garamond" w:cs="Garamond" w:eastAsia="Garamond" w:hAnsi="Garamond"/>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pPr>
      <w:r>
        <w:rPr>
          <w:rFonts w:ascii="Courier New" w:cs="Courier New" w:eastAsia="Courier New" w:hAnsi="Courier New"/>
          <w:b/>
          <w:bCs/>
          <w:color w:val="1B2A4A"/>
          <w:sz w:val="18"/>
          <w:szCs w:val="18"/>
        </w:rPr>
        <w:t xml:space="preserve">§19.6  </w:t>
      </w:r>
      <w:r>
        <w:rPr>
          <w:rFonts w:ascii="Garamond" w:cs="Garamond" w:eastAsia="Garamond" w:hAnsi="Garamond"/>
          <w:b/>
          <w:bCs/>
          <w:color w:val="1B2A4A"/>
          <w:sz w:val="22"/>
          <w:szCs w:val="22"/>
        </w:rPr>
        <w:t xml:space="preserve">Pre-Existing Obligations</w:t>
      </w:r>
    </w:p>
    <w:p>
      <w:pPr>
        <w:spacing w:after="120" w:before="0"/>
        <w:ind w:left="431"/>
        <w:jc w:val="both"/>
      </w:pPr>
      <w:r>
        <w:rPr>
          <w:rFonts w:ascii="Garamond" w:cs="Garamond" w:eastAsia="Garamond" w:hAnsi="Garamond"/>
          <w:color w:val="2a2520"/>
          <w:sz w:val="22"/>
          <w:szCs w:val="22"/>
        </w:rPr>
        <w:t xml:space="preserve">The Republic assumes the public debt obligations of its predecessor government as a constitutional matter, not a discretionary choice. This prevents the Republic from being born into sovereign default by simply denying predecessor debts — a move that would destabilize the fiscal foundations of the transition period. The assumption covers public debt, not private commercial obligations or claims arising from illegal predecessor-government conduct. The distinction matters: the Republic inherits the legitimate fiscal commitments of the predecessor state while preserving the right to pursue claims against individuals who misused predecessor authority.</w:t>
      </w:r>
    </w:p>
    <w:p>
      <w:pPr>
        <w:spacing w:after="60" w:before="200"/>
        <w:ind w:left="863"/>
      </w:pPr>
      <w:r>
        <w:rPr>
          <w:rFonts w:ascii="Courier New" w:cs="Courier New" w:eastAsia="Courier New" w:hAnsi="Courier New"/>
          <w:b/>
          <w:bCs/>
          <w:color w:val="1B2A4A"/>
          <w:sz w:val="18"/>
          <w:szCs w:val="18"/>
        </w:rPr>
        <w:t xml:space="preserve">§19.6.a  </w:t>
      </w:r>
      <w:r>
        <w:rPr>
          <w:rFonts w:ascii="Garamond" w:cs="Garamond" w:eastAsia="Garamond" w:hAnsi="Garamond"/>
          <w:b/>
          <w:bCs/>
          <w:color w:val="1B2A4A"/>
          <w:sz w:val="22"/>
          <w:szCs w:val="22"/>
        </w:rPr>
        <w:t xml:space="preserve">Debt Assumption</w:t>
      </w:r>
    </w:p>
    <w:p>
      <w:pPr>
        <w:spacing w:after="120" w:before="0"/>
        <w:ind w:left="863"/>
        <w:jc w:val="both"/>
      </w:pPr>
      <w:r>
        <w:rPr>
          <w:rFonts w:ascii="Garamond" w:cs="Garamond" w:eastAsia="Garamond" w:hAnsi="Garamond"/>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863"/>
      </w:pPr>
      <w:r>
        <w:rPr>
          <w:rFonts w:ascii="Courier New" w:cs="Courier New" w:eastAsia="Courier New" w:hAnsi="Courier New"/>
          <w:b/>
          <w:bCs/>
          <w:color w:val="1B2A4A"/>
          <w:sz w:val="18"/>
          <w:szCs w:val="18"/>
        </w:rPr>
        <w:t xml:space="preserve">§19.6.b  </w:t>
      </w:r>
      <w:r>
        <w:rPr>
          <w:rFonts w:ascii="Garamond" w:cs="Garamond" w:eastAsia="Garamond" w:hAnsi="Garamond"/>
          <w:b/>
          <w:bCs/>
          <w:color w:val="1B2A4A"/>
          <w:sz w:val="22"/>
          <w:szCs w:val="22"/>
        </w:rPr>
        <w:t xml:space="preserve">Active Military Operations</w:t>
      </w:r>
    </w:p>
    <w:p>
      <w:pPr>
        <w:spacing w:after="120" w:before="0"/>
        <w:ind w:left="863"/>
        <w:jc w:val="both"/>
      </w:pPr>
      <w:r>
        <w:rPr>
          <w:rFonts w:ascii="Garamond" w:cs="Garamond" w:eastAsia="Garamond" w:hAnsi="Garamond"/>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863"/>
      </w:pPr>
      <w:r>
        <w:rPr>
          <w:rFonts w:ascii="Courier New" w:cs="Courier New" w:eastAsia="Courier New" w:hAnsi="Courier New"/>
          <w:b/>
          <w:bCs/>
          <w:color w:val="1B2A4A"/>
          <w:sz w:val="18"/>
          <w:szCs w:val="18"/>
        </w:rPr>
        <w:t xml:space="preserve">§19.6.c  </w:t>
      </w:r>
      <w:r>
        <w:rPr>
          <w:rFonts w:ascii="Garamond" w:cs="Garamond" w:eastAsia="Garamond" w:hAnsi="Garamond"/>
          <w:b/>
          <w:bCs/>
          <w:color w:val="1B2A4A"/>
          <w:sz w:val="22"/>
          <w:szCs w:val="22"/>
        </w:rPr>
        <w:t xml:space="preserve">Social Insurance Programs</w:t>
      </w:r>
    </w:p>
    <w:p>
      <w:pPr>
        <w:spacing w:after="120" w:before="0"/>
        <w:ind w:left="863"/>
        <w:jc w:val="both"/>
      </w:pPr>
      <w:r>
        <w:rPr>
          <w:rFonts w:ascii="Garamond" w:cs="Garamond" w:eastAsia="Garamond" w:hAnsi="Garamond"/>
          <w:color w:val="2a2520"/>
          <w:sz w:val="22"/>
          <w:szCs w:val="22"/>
        </w:rPr>
        <w:t xml:space="preserve">Existing social insurance programs — retirement pensions, disability benefits, health coverage — of the prior government continue uninterrupted during the Transition Window. The Republic does not create a gap in social protection as part of its founding.</w:t>
      </w:r>
    </w:p>
    <w:p>
      <w:pPr>
        <w:spacing w:after="60" w:before="200"/>
        <w:ind w:left="863"/>
      </w:pPr>
      <w:r>
        <w:rPr>
          <w:rFonts w:ascii="Courier New" w:cs="Courier New" w:eastAsia="Courier New" w:hAnsi="Courier New"/>
          <w:b/>
          <w:bCs/>
          <w:color w:val="1B2A4A"/>
          <w:sz w:val="18"/>
          <w:szCs w:val="18"/>
        </w:rPr>
        <w:t xml:space="preserve">§19.6.d  </w:t>
      </w:r>
      <w:r>
        <w:rPr>
          <w:rFonts w:ascii="Garamond" w:cs="Garamond" w:eastAsia="Garamond" w:hAnsi="Garamond"/>
          <w:b/>
          <w:bCs/>
          <w:color w:val="1B2A4A"/>
          <w:sz w:val="22"/>
          <w:szCs w:val="22"/>
        </w:rPr>
        <w:t xml:space="preserve">Veterans and National Service Obligations</w:t>
      </w:r>
    </w:p>
    <w:p>
      <w:pPr>
        <w:spacing w:after="120" w:before="0"/>
        <w:ind w:left="863"/>
        <w:jc w:val="both"/>
      </w:pPr>
      <w:r>
        <w:rPr>
          <w:rFonts w:ascii="Garamond" w:cs="Garamond" w:eastAsia="Garamond" w:hAnsi="Garamond"/>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863"/>
      </w:pPr>
      <w:r>
        <w:rPr>
          <w:rFonts w:ascii="Courier New" w:cs="Courier New" w:eastAsia="Courier New" w:hAnsi="Courier New"/>
          <w:b/>
          <w:bCs/>
          <w:color w:val="1B2A4A"/>
          <w:sz w:val="18"/>
          <w:szCs w:val="18"/>
        </w:rPr>
        <w:t xml:space="preserve">§19.6.e  </w:t>
      </w:r>
      <w:r>
        <w:rPr>
          <w:rFonts w:ascii="Garamond" w:cs="Garamond" w:eastAsia="Garamond" w:hAnsi="Garamond"/>
          <w:b/>
          <w:bCs/>
          <w:color w:val="1B2A4A"/>
          <w:sz w:val="22"/>
          <w:szCs w:val="22"/>
        </w:rPr>
        <w:t xml:space="preserve">Constitutional Claims Court</w:t>
      </w:r>
    </w:p>
    <w:p>
      <w:pPr>
        <w:spacing w:after="120" w:before="0"/>
        <w:ind w:left="863"/>
        <w:jc w:val="both"/>
      </w:pPr>
      <w:r>
        <w:rPr>
          <w:rFonts w:ascii="Garamond" w:cs="Garamond" w:eastAsia="Garamond" w:hAnsi="Garamond"/>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863"/>
      </w:pPr>
      <w:r>
        <w:rPr>
          <w:rFonts w:ascii="Courier New" w:cs="Courier New" w:eastAsia="Courier New" w:hAnsi="Courier New"/>
          <w:b/>
          <w:bCs/>
          <w:color w:val="1B2A4A"/>
          <w:sz w:val="18"/>
          <w:szCs w:val="18"/>
        </w:rPr>
        <w:t xml:space="preserve">§19.6.f  </w:t>
      </w:r>
      <w:r>
        <w:rPr>
          <w:rFonts w:ascii="Garamond" w:cs="Garamond" w:eastAsia="Garamond" w:hAnsi="Garamond"/>
          <w:b/>
          <w:bCs/>
          <w:color w:val="1B2A4A"/>
          <w:sz w:val="22"/>
          <w:szCs w:val="22"/>
        </w:rPr>
        <w:t xml:space="preserve">Legal Continuity</w:t>
      </w:r>
    </w:p>
    <w:p>
      <w:pPr>
        <w:spacing w:after="120" w:before="0"/>
        <w:ind w:left="863"/>
        <w:jc w:val="both"/>
      </w:pPr>
      <w:r>
        <w:rPr>
          <w:rFonts w:ascii="Garamond" w:cs="Garamond" w:eastAsia="Garamond" w:hAnsi="Garamond"/>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 This ensures that the Republic is not born into sovereign default or diplomatic isolation.</w:t>
      </w:r>
    </w:p>
    <w:p>
      <w:pPr>
        <w:spacing w:after="60" w:before="200"/>
        <w:ind w:left="863"/>
      </w:pPr>
      <w:r>
        <w:rPr>
          <w:rFonts w:ascii="Courier New" w:cs="Courier New" w:eastAsia="Courier New" w:hAnsi="Courier New"/>
          <w:b/>
          <w:bCs/>
          <w:color w:val="1B2A4A"/>
          <w:sz w:val="18"/>
          <w:szCs w:val="18"/>
        </w:rPr>
        <w:t xml:space="preserve">§19.7.a  </w:t>
      </w:r>
      <w:r>
        <w:rPr>
          <w:rFonts w:ascii="Garamond" w:cs="Garamond" w:eastAsia="Garamond" w:hAnsi="Garamond"/>
          <w:b/>
          <w:bCs/>
          <w:color w:val="1B2A4A"/>
          <w:sz w:val="22"/>
          <w:szCs w:val="22"/>
        </w:rPr>
        <w:t xml:space="preserve">Transition-Period Territorial Elections</w:t>
      </w:r>
    </w:p>
    <w:p>
      <w:pPr>
        <w:spacing w:after="120" w:before="0"/>
        <w:ind w:left="863"/>
        <w:jc w:val="both"/>
      </w:pPr>
      <w:r>
        <w:rPr>
          <w:rFonts w:ascii="Garamond" w:cs="Garamond" w:eastAsia="Garamond" w:hAnsi="Garamond"/>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863"/>
      </w:pPr>
      <w:r>
        <w:rPr>
          <w:rFonts w:ascii="Courier New" w:cs="Courier New" w:eastAsia="Courier New" w:hAnsi="Courier New"/>
          <w:b/>
          <w:bCs/>
          <w:color w:val="1B2A4A"/>
          <w:sz w:val="18"/>
          <w:szCs w:val="18"/>
        </w:rPr>
        <w:t xml:space="preserve">§19.7.b  </w:t>
      </w:r>
      <w:r>
        <w:rPr>
          <w:rFonts w:ascii="Garamond" w:cs="Garamond" w:eastAsia="Garamond" w:hAnsi="Garamond"/>
          <w:b/>
          <w:bCs/>
          <w:color w:val="1B2A4A"/>
          <w:sz w:val="22"/>
          <w:szCs w:val="22"/>
        </w:rPr>
        <w:t xml:space="preserve">Subdivision Elections</w:t>
      </w:r>
    </w:p>
    <w:p>
      <w:pPr>
        <w:spacing w:after="120" w:before="0"/>
        <w:ind w:left="863"/>
        <w:jc w:val="both"/>
      </w:pPr>
      <w:r>
        <w:rPr>
          <w:rFonts w:ascii="Garamond" w:cs="Garamond" w:eastAsia="Garamond" w:hAnsi="Garamond"/>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863"/>
      </w:pPr>
      <w:r>
        <w:rPr>
          <w:rFonts w:ascii="Courier New" w:cs="Courier New" w:eastAsia="Courier New" w:hAnsi="Courier New"/>
          <w:b/>
          <w:bCs/>
          <w:color w:val="1B2A4A"/>
          <w:sz w:val="18"/>
          <w:szCs w:val="18"/>
        </w:rPr>
        <w:t xml:space="preserve">§19.7.c  </w:t>
      </w:r>
      <w:r>
        <w:rPr>
          <w:rFonts w:ascii="Garamond" w:cs="Garamond" w:eastAsia="Garamond" w:hAnsi="Garamond"/>
          <w:b/>
          <w:bCs/>
          <w:color w:val="1B2A4A"/>
          <w:sz w:val="22"/>
          <w:szCs w:val="22"/>
        </w:rPr>
        <w:t xml:space="preserve">Phase 2 Statehood Audit Failures</w:t>
      </w:r>
    </w:p>
    <w:p>
      <w:pPr>
        <w:spacing w:after="120" w:before="0"/>
        <w:ind w:left="863"/>
        <w:jc w:val="both"/>
      </w:pPr>
      <w:r>
        <w:rPr>
          <w:rFonts w:ascii="Garamond" w:cs="Garamond" w:eastAsia="Garamond" w:hAnsi="Garamond"/>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863"/>
      </w:pPr>
      <w:r>
        <w:rPr>
          <w:rFonts w:ascii="Courier New" w:cs="Courier New" w:eastAsia="Courier New" w:hAnsi="Courier New"/>
          <w:b/>
          <w:bCs/>
          <w:color w:val="1B2A4A"/>
          <w:sz w:val="18"/>
          <w:szCs w:val="18"/>
        </w:rPr>
        <w:t xml:space="preserve">§19.7.d  </w:t>
      </w:r>
      <w:r>
        <w:rPr>
          <w:rFonts w:ascii="Garamond" w:cs="Garamond" w:eastAsia="Garamond" w:hAnsi="Garamond"/>
          <w:b/>
          <w:bCs/>
          <w:color w:val="1B2A4A"/>
          <w:sz w:val="22"/>
          <w:szCs w:val="22"/>
        </w:rPr>
        <w:t xml:space="preserve">Pre-Existing Territories and the District</w:t>
      </w:r>
    </w:p>
    <w:p>
      <w:pPr>
        <w:spacing w:after="120" w:before="0"/>
        <w:ind w:left="863"/>
        <w:jc w:val="both"/>
      </w:pPr>
      <w:r>
        <w:rPr>
          <w:rFonts w:ascii="Garamond" w:cs="Garamond" w:eastAsia="Garamond" w:hAnsi="Garamond"/>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pPr>
      <w:r>
        <w:rPr>
          <w:rFonts w:ascii="Courier New" w:cs="Courier New" w:eastAsia="Courier New" w:hAnsi="Courier New"/>
          <w:b/>
          <w:bCs/>
          <w:color w:val="1B2A4A"/>
          <w:sz w:val="18"/>
          <w:szCs w:val="18"/>
        </w:rPr>
        <w:t xml:space="preserve">§19.8  </w:t>
      </w:r>
      <w:r>
        <w:rPr>
          <w:rFonts w:ascii="Garamond" w:cs="Garamond" w:eastAsia="Garamond" w:hAnsi="Garamond"/>
          <w:b/>
          <w:bCs/>
          <w:color w:val="1B2A4A"/>
          <w:sz w:val="22"/>
          <w:szCs w:val="22"/>
        </w:rPr>
        <w:t xml:space="preserve">Transition Candidate Registers</w:t>
      </w:r>
    </w:p>
    <w:p>
      <w:pPr>
        <w:spacing w:after="120" w:before="0"/>
        <w:ind w:left="431"/>
        <w:jc w:val="both"/>
      </w:pPr>
      <w:r>
        <w:rPr>
          <w:rFonts w:ascii="Garamond" w:cs="Garamond" w:eastAsia="Garamond" w:hAnsi="Garamond"/>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863"/>
      </w:pPr>
      <w:r>
        <w:rPr>
          <w:rFonts w:ascii="Courier New" w:cs="Courier New" w:eastAsia="Courier New" w:hAnsi="Courier New"/>
          <w:b/>
          <w:bCs/>
          <w:color w:val="1B2A4A"/>
          <w:sz w:val="18"/>
          <w:szCs w:val="18"/>
        </w:rPr>
        <w:t xml:space="preserve">§19.8.a  </w:t>
      </w:r>
      <w:r>
        <w:rPr>
          <w:rFonts w:ascii="Garamond" w:cs="Garamond" w:eastAsia="Garamond" w:hAnsi="Garamond"/>
          <w:b/>
          <w:bCs/>
          <w:color w:val="1B2A4A"/>
          <w:sz w:val="22"/>
          <w:szCs w:val="22"/>
        </w:rPr>
        <w:t xml:space="preserve">Initial Register Assembly</w:t>
      </w:r>
    </w:p>
    <w:p>
      <w:pPr>
        <w:spacing w:after="120" w:before="0"/>
        <w:ind w:left="863"/>
        <w:jc w:val="both"/>
      </w:pPr>
      <w:r>
        <w:rPr>
          <w:rFonts w:ascii="Garamond" w:cs="Garamond" w:eastAsia="Garamond" w:hAnsi="Garamond"/>
          <w:color w:val="2a2520"/>
          <w:sz w:val="22"/>
          <w:szCs w:val="22"/>
        </w:rPr>
        <w:t xml:space="preserve">During Phase 2, the joint Inspectorate panel assembles an initial Candidate Register for the MA board members and RSA Director.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863"/>
      </w:pPr>
      <w:r>
        <w:rPr>
          <w:rFonts w:ascii="Courier New" w:cs="Courier New" w:eastAsia="Courier New" w:hAnsi="Courier New"/>
          <w:b/>
          <w:bCs/>
          <w:color w:val="1B2A4A"/>
          <w:sz w:val="18"/>
          <w:szCs w:val="18"/>
        </w:rPr>
        <w:t xml:space="preserve">§19.8.b  </w:t>
      </w:r>
      <w:r>
        <w:rPr>
          <w:rFonts w:ascii="Garamond" w:cs="Garamond" w:eastAsia="Garamond" w:hAnsi="Garamond"/>
          <w:b/>
          <w:bCs/>
          <w:color w:val="1B2A4A"/>
          <w:sz w:val="22"/>
          <w:szCs w:val="22"/>
        </w:rPr>
        <w:t xml:space="preserve">Interim Functions and First Nomination</w:t>
      </w:r>
    </w:p>
    <w:p>
      <w:pPr>
        <w:spacing w:after="120" w:before="0"/>
        <w:ind w:left="863"/>
        <w:jc w:val="both"/>
      </w:pPr>
      <w:r>
        <w:rPr>
          <w:rFonts w:ascii="Garamond" w:cs="Garamond" w:eastAsia="Garamond" w:hAnsi="Garamond"/>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an RSA Director within 180 days.</w:t>
      </w:r>
    </w:p>
    <w:p>
      <w:pPr>
        <w:spacing w:after="60" w:before="200"/>
        <w:ind w:left="431"/>
      </w:pPr>
      <w:r>
        <w:rPr>
          <w:rFonts w:ascii="Courier New" w:cs="Courier New" w:eastAsia="Courier New" w:hAnsi="Courier New"/>
          <w:b/>
          <w:bCs/>
          <w:color w:val="1B2A4A"/>
          <w:sz w:val="18"/>
          <w:szCs w:val="18"/>
        </w:rPr>
        <w:t xml:space="preserve">§19.9  </w:t>
      </w:r>
      <w:r>
        <w:rPr>
          <w:rFonts w:ascii="Garamond" w:cs="Garamond" w:eastAsia="Garamond" w:hAnsi="Garamond"/>
          <w:b/>
          <w:bCs/>
          <w:color w:val="1B2A4A"/>
          <w:sz w:val="22"/>
          <w:szCs w:val="22"/>
        </w:rPr>
        <w:t xml:space="preserve">Transitional Accountability Mechanism</w:t>
      </w:r>
    </w:p>
    <w:p>
      <w:pPr>
        <w:spacing w:after="120" w:before="0"/>
        <w:ind w:left="431"/>
        <w:jc w:val="both"/>
      </w:pPr>
      <w:r>
        <w:rPr>
          <w:rFonts w:ascii="Garamond" w:cs="Garamond" w:eastAsia="Garamond" w:hAnsi="Garamond"/>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the constitutional answer to how a new Republic deals with the wrongs of what it replaced with the wrongs of what it replaced.</w:t>
      </w:r>
    </w:p>
    <w:p>
      <w:pPr>
        <w:spacing w:after="60" w:before="200"/>
        <w:ind w:left="863"/>
      </w:pPr>
      <w:r>
        <w:rPr>
          <w:rFonts w:ascii="Courier New" w:cs="Courier New" w:eastAsia="Courier New" w:hAnsi="Courier New"/>
          <w:b/>
          <w:bCs/>
          <w:color w:val="1B2A4A"/>
          <w:sz w:val="18"/>
          <w:szCs w:val="18"/>
        </w:rPr>
        <w:t xml:space="preserve">§19.9.a  </w:t>
      </w:r>
      <w:r>
        <w:rPr>
          <w:rFonts w:ascii="Garamond" w:cs="Garamond" w:eastAsia="Garamond" w:hAnsi="Garamond"/>
          <w:b/>
          <w:bCs/>
          <w:color w:val="1B2A4A"/>
          <w:sz w:val="22"/>
          <w:szCs w:val="22"/>
        </w:rPr>
        <w:t xml:space="preserve">TAM Establishment and Scope</w:t>
      </w:r>
    </w:p>
    <w:p>
      <w:pPr>
        <w:spacing w:after="120" w:before="0"/>
        <w:ind w:left="863"/>
        <w:jc w:val="both"/>
      </w:pPr>
      <w:r>
        <w:rPr>
          <w:rFonts w:ascii="Garamond" w:cs="Garamond" w:eastAsia="Garamond" w:hAnsi="Garamond"/>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 The TAM embodies the constitutional separation between information-generation and consequence-imposition: it finds and publishes; courts, the Legislature, and the PM decide whether to act on what it finds.</w:t>
      </w:r>
    </w:p>
    <w:p>
      <w:pPr>
        <w:spacing w:after="60" w:before="200"/>
        <w:ind w:left="863"/>
      </w:pPr>
      <w:r>
        <w:rPr>
          <w:rFonts w:ascii="Courier New" w:cs="Courier New" w:eastAsia="Courier New" w:hAnsi="Courier New"/>
          <w:b/>
          <w:bCs/>
          <w:color w:val="1B2A4A"/>
          <w:sz w:val="18"/>
          <w:szCs w:val="18"/>
        </w:rPr>
        <w:t xml:space="preserve">§19.9.b  </w:t>
      </w:r>
      <w:r>
        <w:rPr>
          <w:rFonts w:ascii="Garamond" w:cs="Garamond" w:eastAsia="Garamond" w:hAnsi="Garamond"/>
          <w:b/>
          <w:bCs/>
          <w:color w:val="1B2A4A"/>
          <w:sz w:val="22"/>
          <w:szCs w:val="22"/>
        </w:rPr>
        <w:t xml:space="preserve">TAM Amendment and Successor Bar</w:t>
      </w:r>
    </w:p>
    <w:p>
      <w:pPr>
        <w:spacing w:after="120" w:before="0"/>
        <w:ind w:left="863"/>
        <w:jc w:val="both"/>
      </w:pPr>
      <w:r>
        <w:rPr>
          <w:rFonts w:ascii="Garamond" w:cs="Garamond" w:eastAsia="Garamond" w:hAnsi="Garamond"/>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863"/>
      </w:pPr>
      <w:r>
        <w:rPr>
          <w:rFonts w:ascii="Courier New" w:cs="Courier New" w:eastAsia="Courier New" w:hAnsi="Courier New"/>
          <w:b/>
          <w:bCs/>
          <w:color w:val="1B2A4A"/>
          <w:sz w:val="18"/>
          <w:szCs w:val="18"/>
        </w:rPr>
        <w:t xml:space="preserve">§19.9.c  </w:t>
      </w:r>
      <w:r>
        <w:rPr>
          <w:rFonts w:ascii="Garamond" w:cs="Garamond" w:eastAsia="Garamond" w:hAnsi="Garamond"/>
          <w:b/>
          <w:bCs/>
          <w:color w:val="1B2A4A"/>
          <w:sz w:val="22"/>
          <w:szCs w:val="22"/>
        </w:rPr>
        <w:t xml:space="preserve">TAM Jurisdiction and Publication Limits</w:t>
      </w:r>
    </w:p>
    <w:p>
      <w:pPr>
        <w:spacing w:after="120" w:before="0"/>
        <w:ind w:left="863"/>
        <w:jc w:val="both"/>
      </w:pPr>
      <w:r>
        <w:rPr>
          <w:rFonts w:ascii="Garamond" w:cs="Garamond" w:eastAsia="Garamond" w:hAnsi="Garamond"/>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w:t>
      </w:r>
    </w:p>
    <w:p>
      <w:pPr>
        <w:spacing w:after="60" w:before="200"/>
        <w:ind w:left="863"/>
      </w:pPr>
      <w:r>
        <w:rPr>
          <w:rFonts w:ascii="Courier New" w:cs="Courier New" w:eastAsia="Courier New" w:hAnsi="Courier New"/>
          <w:b/>
          <w:bCs/>
          <w:color w:val="1B2A4A"/>
          <w:sz w:val="18"/>
          <w:szCs w:val="18"/>
        </w:rPr>
        <w:t xml:space="preserve">§19.9.d  </w:t>
      </w:r>
      <w:r>
        <w:rPr>
          <w:rFonts w:ascii="Garamond" w:cs="Garamond" w:eastAsia="Garamond" w:hAnsi="Garamond"/>
          <w:b/>
          <w:bCs/>
          <w:color w:val="1B2A4A"/>
          <w:sz w:val="22"/>
          <w:szCs w:val="22"/>
        </w:rPr>
        <w:t xml:space="preserve">TAM Sunset and Rationale</w:t>
      </w:r>
    </w:p>
    <w:p>
      <w:pPr>
        <w:spacing w:after="120" w:before="0"/>
        <w:ind w:left="863"/>
        <w:jc w:val="both"/>
      </w:pPr>
      <w:r>
        <w:rPr>
          <w:rFonts w:ascii="Garamond" w:cs="Garamond" w:eastAsia="Garamond" w:hAnsi="Garamond"/>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II — The Dual Executive</w:t>
      </w:r>
    </w:p>
    <w:p>
      <w:pPr>
        <w:spacing w:after="120"/>
      </w:pPr>
    </w:p>
    <w:p>
      <w:pPr>
        <w:spacing w:after="60" w:before="200"/>
        <w:ind w:left="431"/>
      </w:pPr>
      <w:r>
        <w:rPr>
          <w:rFonts w:ascii="Courier New" w:cs="Courier New" w:eastAsia="Courier New" w:hAnsi="Courier New"/>
          <w:b/>
          <w:bCs/>
          <w:color w:val="1B2A4A"/>
          <w:sz w:val="18"/>
          <w:szCs w:val="18"/>
        </w:rPr>
        <w:t xml:space="preserve">§2.1  </w:t>
      </w:r>
      <w:r>
        <w:rPr>
          <w:rFonts w:ascii="Garamond" w:cs="Garamond" w:eastAsia="Garamond" w:hAnsi="Garamond"/>
          <w:b/>
          <w:bCs/>
          <w:color w:val="1B2A4A"/>
          <w:sz w:val="22"/>
          <w:szCs w:val="22"/>
        </w:rPr>
        <w:t xml:space="preserve">The President — Term and Transfer</w:t>
      </w:r>
    </w:p>
    <w:p>
      <w:pPr>
        <w:spacing w:after="120" w:before="0"/>
        <w:ind w:left="431"/>
        <w:jc w:val="both"/>
      </w:pPr>
      <w:r>
        <w:rPr>
          <w:rFonts w:ascii="Garamond" w:cs="Garamond" w:eastAsia="Garamond" w:hAnsi="Garamond"/>
          <w:color w:val="2a2520"/>
          <w:sz w:val="22"/>
          <w:szCs w:val="22"/>
        </w:rPr>
        <w:t xml:space="preserve">The opening provision of the Presidential domain. Authority is defined and bounded — military command, foreign affairs, intelligence, treaty negotiation, trade agreements, domain officer appointments, and the domain-scoped veto. The structure is intentional: Presidential authority is enumerated; PM authority is residual. Any question about which executive holds a function resolves to the PM unless the President can point to a specific enumerated power here.</w:t>
      </w:r>
    </w:p>
    <w:p>
      <w:pPr>
        <w:spacing w:after="60" w:before="200"/>
        <w:ind w:left="863"/>
      </w:pPr>
      <w:r>
        <w:rPr>
          <w:rFonts w:ascii="Courier New" w:cs="Courier New" w:eastAsia="Courier New" w:hAnsi="Courier New"/>
          <w:b/>
          <w:bCs/>
          <w:color w:val="1B2A4A"/>
          <w:sz w:val="18"/>
          <w:szCs w:val="18"/>
        </w:rPr>
        <w:t xml:space="preserve">§2.1.a  </w:t>
      </w:r>
      <w:r>
        <w:rPr>
          <w:rFonts w:ascii="Garamond" w:cs="Garamond" w:eastAsia="Garamond" w:hAnsi="Garamond"/>
          <w:b/>
          <w:bCs/>
          <w:color w:val="1B2A4A"/>
          <w:sz w:val="22"/>
          <w:szCs w:val="22"/>
        </w:rPr>
        <w:t xml:space="preserve">Tier 1 — Immediate Defensive Response</w:t>
      </w:r>
    </w:p>
    <w:p>
      <w:pPr>
        <w:spacing w:after="120" w:before="0"/>
        <w:ind w:left="863"/>
        <w:jc w:val="both"/>
      </w:pPr>
      <w:r>
        <w:rPr>
          <w:rFonts w:ascii="Garamond" w:cs="Garamond" w:eastAsia="Garamond" w:hAnsi="Garamond"/>
          <w:color w:val="2a2520"/>
          <w:sz w:val="22"/>
          <w:szCs w:val="22"/>
        </w:rPr>
        <w:t xml:space="preserve">Tier 1: immediate defensive response — self-executing, no prior authorization required.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863"/>
      </w:pPr>
      <w:r>
        <w:rPr>
          <w:rFonts w:ascii="Courier New" w:cs="Courier New" w:eastAsia="Courier New" w:hAnsi="Courier New"/>
          <w:b/>
          <w:bCs/>
          <w:color w:val="1B2A4A"/>
          <w:sz w:val="18"/>
          <w:szCs w:val="18"/>
        </w:rPr>
        <w:t xml:space="preserve">§2.1.b  </w:t>
      </w:r>
      <w:r>
        <w:rPr>
          <w:rFonts w:ascii="Garamond" w:cs="Garamond" w:eastAsia="Garamond" w:hAnsi="Garamond"/>
          <w:b/>
          <w:bCs/>
          <w:color w:val="1B2A4A"/>
          <w:sz w:val="22"/>
          <w:szCs w:val="22"/>
        </w:rPr>
        <w:t xml:space="preserve">Tier 2 — Senate Armed Services Authorization</w:t>
      </w:r>
    </w:p>
    <w:p>
      <w:pPr>
        <w:spacing w:after="120" w:before="0"/>
        <w:ind w:left="863"/>
        <w:jc w:val="both"/>
      </w:pPr>
      <w:r>
        <w:rPr>
          <w:rFonts w:ascii="Garamond" w:cs="Garamond" w:eastAsia="Garamond" w:hAnsi="Garamond"/>
          <w:color w:val="2a2520"/>
          <w:sz w:val="22"/>
          <w:szCs w:val="22"/>
        </w:rPr>
        <w:t xml:space="preserve">Tier 2: Senate Armed Services Committee authorization — 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863"/>
      </w:pPr>
      <w:r>
        <w:rPr>
          <w:rFonts w:ascii="Courier New" w:cs="Courier New" w:eastAsia="Courier New" w:hAnsi="Courier New"/>
          <w:b/>
          <w:bCs/>
          <w:color w:val="1B2A4A"/>
          <w:sz w:val="18"/>
          <w:szCs w:val="18"/>
        </w:rPr>
        <w:t xml:space="preserve">§2.1.c  </w:t>
      </w:r>
      <w:r>
        <w:rPr>
          <w:rFonts w:ascii="Garamond" w:cs="Garamond" w:eastAsia="Garamond" w:hAnsi="Garamond"/>
          <w:b/>
          <w:bCs/>
          <w:color w:val="1B2A4A"/>
          <w:sz w:val="22"/>
          <w:szCs w:val="22"/>
        </w:rPr>
        <w:t xml:space="preserve">Tier 3 — Legislative Declaration of Defense</w:t>
      </w:r>
    </w:p>
    <w:p>
      <w:pPr>
        <w:spacing w:after="120" w:before="0"/>
        <w:ind w:left="863"/>
        <w:jc w:val="both"/>
      </w:pPr>
      <w:r>
        <w:rPr>
          <w:rFonts w:ascii="Garamond" w:cs="Garamond" w:eastAsia="Garamond" w:hAnsi="Garamond"/>
          <w:color w:val="2a2520"/>
          <w:sz w:val="22"/>
          <w:szCs w:val="22"/>
        </w:rPr>
        <w:t xml:space="preserve">Tier 3: Legislative Declaration of Defense — 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863"/>
      </w:pPr>
      <w:r>
        <w:rPr>
          <w:rFonts w:ascii="Courier New" w:cs="Courier New" w:eastAsia="Courier New" w:hAnsi="Courier New"/>
          <w:b/>
          <w:bCs/>
          <w:color w:val="1B2A4A"/>
          <w:sz w:val="18"/>
          <w:szCs w:val="18"/>
        </w:rPr>
        <w:t xml:space="preserve">§2.1.d  </w:t>
      </w:r>
      <w:r>
        <w:rPr>
          <w:rFonts w:ascii="Garamond" w:cs="Garamond" w:eastAsia="Garamond" w:hAnsi="Garamond"/>
          <w:b/>
          <w:bCs/>
          <w:color w:val="1B2A4A"/>
          <w:sz w:val="22"/>
          <w:szCs w:val="22"/>
        </w:rPr>
        <w:t xml:space="preserve">Funding Lock</w:t>
      </w:r>
    </w:p>
    <w:p>
      <w:pPr>
        <w:spacing w:after="120" w:before="0"/>
        <w:ind w:left="863"/>
        <w:jc w:val="both"/>
      </w:pPr>
      <w:r>
        <w:rPr>
          <w:rFonts w:ascii="Garamond" w:cs="Garamond" w:eastAsia="Garamond" w:hAnsi="Garamond"/>
          <w:color w:val="2a2520"/>
          <w:sz w:val="22"/>
          <w:szCs w:val="22"/>
        </w:rPr>
        <w:t xml:space="preserve">The funding lock: 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863"/>
      </w:pPr>
      <w:r>
        <w:rPr>
          <w:rFonts w:ascii="Courier New" w:cs="Courier New" w:eastAsia="Courier New" w:hAnsi="Courier New"/>
          <w:b/>
          <w:bCs/>
          <w:color w:val="1B2A4A"/>
          <w:sz w:val="18"/>
          <w:szCs w:val="18"/>
        </w:rPr>
        <w:t xml:space="preserve">§2.1.e  </w:t>
      </w:r>
      <w:r>
        <w:rPr>
          <w:rFonts w:ascii="Garamond" w:cs="Garamond" w:eastAsia="Garamond" w:hAnsi="Garamond"/>
          <w:b/>
          <w:bCs/>
          <w:color w:val="1B2A4A"/>
          <w:sz w:val="22"/>
          <w:szCs w:val="22"/>
        </w:rPr>
        <w:t xml:space="preserve">Privacy Firewall</w:t>
      </w:r>
    </w:p>
    <w:p>
      <w:pPr>
        <w:spacing w:after="120" w:before="0"/>
        <w:ind w:left="863"/>
        <w:jc w:val="both"/>
      </w:pPr>
      <w:r>
        <w:rPr>
          <w:rFonts w:ascii="Garamond" w:cs="Garamond" w:eastAsia="Garamond" w:hAnsi="Garamond"/>
          <w:color w:val="2a2520"/>
          <w:sz w:val="22"/>
          <w:szCs w:val="22"/>
        </w:rPr>
        <w:t xml:space="preserve">Cross-references §1.29.d as the authoritative Intelligence Firewall provision. The prohibition on domestic intelligence operations against Republic citizens is non-derogable and permanent — governed by §1.29.d. §2.1.e previously restated the prohibition in language not identical to §1.29.d. Now redirects all references to §1.29.d. Any order in violation is constitutionally void; the EI reports any such order to the NRS.</w:t>
      </w:r>
    </w:p>
    <w:p>
      <w:pPr>
        <w:spacing w:after="60" w:before="200"/>
        <w:ind w:left="863"/>
      </w:pPr>
      <w:r>
        <w:rPr>
          <w:rFonts w:ascii="Courier New" w:cs="Courier New" w:eastAsia="Courier New" w:hAnsi="Courier New"/>
          <w:b/>
          <w:bCs/>
          <w:color w:val="1B2A4A"/>
          <w:sz w:val="18"/>
          <w:szCs w:val="18"/>
        </w:rPr>
        <w:t xml:space="preserve">§2.1.f  </w:t>
      </w:r>
      <w:r>
        <w:rPr>
          <w:rFonts w:ascii="Garamond" w:cs="Garamond" w:eastAsia="Garamond" w:hAnsi="Garamond"/>
          <w:b/>
          <w:bCs/>
          <w:color w:val="1B2A4A"/>
          <w:sz w:val="22"/>
          <w:szCs w:val="22"/>
        </w:rPr>
        <w:t xml:space="preserve">Presidential Veto — Scope</w:t>
      </w:r>
    </w:p>
    <w:p>
      <w:pPr>
        <w:spacing w:after="120" w:before="0"/>
        <w:ind w:left="863"/>
        <w:jc w:val="both"/>
      </w:pPr>
      <w:r>
        <w:rPr>
          <w:rFonts w:ascii="Garamond" w:cs="Garamond" w:eastAsia="Garamond" w:hAnsi="Garamond"/>
          <w:color w:val="2a2520"/>
          <w:sz w:val="22"/>
          <w:szCs w:val="22"/>
        </w:rPr>
        <w:t xml:space="preserve">Domain-scoped veto — deliberately the most limited presidential veto in any constitutional design. The President may veto only bills raising a genuine constitutional concern within the security domain: military operations, intelligence, treaty obligations, border security. A general or speculative security connection is not sufficient. The SC reviews any presidential veto within 48 hours on petition from either Speaker — prevents the veto from becoming a de facto policy lever dressed in security language.</w:t>
      </w:r>
    </w:p>
    <w:p>
      <w:pPr>
        <w:spacing w:after="60" w:before="200"/>
        <w:ind w:left="1296"/>
      </w:pPr>
      <w:r>
        <w:rPr>
          <w:rFonts w:ascii="Courier New" w:cs="Courier New" w:eastAsia="Courier New" w:hAnsi="Courier New"/>
          <w:b/>
          <w:bCs/>
          <w:color w:val="1B2A4A"/>
          <w:sz w:val="18"/>
          <w:szCs w:val="18"/>
        </w:rPr>
        <w:t xml:space="preserve">§2.1.f.i  </w:t>
      </w:r>
      <w:r>
        <w:rPr>
          <w:rFonts w:ascii="Garamond" w:cs="Garamond" w:eastAsia="Garamond" w:hAnsi="Garamond"/>
          <w:b/>
          <w:bCs/>
          <w:color w:val="1B2A4A"/>
          <w:sz w:val="22"/>
          <w:szCs w:val="22"/>
        </w:rPr>
        <w:t xml:space="preserve">Judicial Review and Override</w:t>
      </w:r>
    </w:p>
    <w:p>
      <w:pPr>
        <w:spacing w:after="120" w:before="0"/>
        <w:ind w:left="1296"/>
        <w:jc w:val="both"/>
      </w:pPr>
      <w:r>
        <w:rPr>
          <w:rFonts w:ascii="Garamond" w:cs="Garamond" w:eastAsia="Garamond" w:hAnsi="Garamond"/>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863"/>
      </w:pPr>
      <w:r>
        <w:rPr>
          <w:rFonts w:ascii="Courier New" w:cs="Courier New" w:eastAsia="Courier New" w:hAnsi="Courier New"/>
          <w:b/>
          <w:bCs/>
          <w:color w:val="1B2A4A"/>
          <w:sz w:val="18"/>
          <w:szCs w:val="18"/>
        </w:rPr>
        <w:t xml:space="preserve">§2.1.g  </w:t>
      </w:r>
      <w:r>
        <w:rPr>
          <w:rFonts w:ascii="Garamond" w:cs="Garamond" w:eastAsia="Garamond" w:hAnsi="Garamond"/>
          <w:b/>
          <w:bCs/>
          <w:color w:val="1B2A4A"/>
          <w:sz w:val="22"/>
          <w:szCs w:val="22"/>
        </w:rPr>
        <w:t xml:space="preserve">Presidential Clemency</w:t>
      </w:r>
    </w:p>
    <w:p>
      <w:pPr>
        <w:spacing w:after="120" w:before="0"/>
        <w:ind w:left="863"/>
        <w:jc w:val="both"/>
      </w:pPr>
      <w:r>
        <w:rPr>
          <w:rFonts w:ascii="Garamond" w:cs="Garamond" w:eastAsia="Garamond" w:hAnsi="Garamond"/>
          <w:color w:val="2a2520"/>
          <w:sz w:val="22"/>
          <w:szCs w:val="22"/>
        </w:rPr>
        <w:t xml:space="preserve">Presidential clemency is domain-scoped: military law and national security offenses only. Before any grant, the EI publishes a factual background report — the petitioner's record, conviction circumstances, and prior EI findings — simultaneously to the NRS. Self-clemency is constitutionally prohibited under §2.9.b. Cross-chamber prohibition under §2.9.c: the President may not pardon a PM offense, nor the PM a Presidential one.</w:t>
      </w:r>
    </w:p>
    <w:p>
      <w:pPr>
        <w:spacing w:after="60" w:before="200"/>
        <w:ind w:left="863"/>
      </w:pPr>
      <w:r>
        <w:rPr>
          <w:rFonts w:ascii="Courier New" w:cs="Courier New" w:eastAsia="Courier New" w:hAnsi="Courier New"/>
          <w:b/>
          <w:bCs/>
          <w:color w:val="1B2A4A"/>
          <w:sz w:val="18"/>
          <w:szCs w:val="18"/>
        </w:rPr>
        <w:t xml:space="preserve">§2.1.h  </w:t>
      </w:r>
      <w:r>
        <w:rPr>
          <w:rFonts w:ascii="Garamond" w:cs="Garamond" w:eastAsia="Garamond" w:hAnsi="Garamond"/>
          <w:b/>
          <w:bCs/>
          <w:color w:val="1B2A4A"/>
          <w:sz w:val="22"/>
          <w:szCs w:val="22"/>
        </w:rPr>
        <w:t xml:space="preserve">Dual Executive Conflict Resolution During Active Operations</w:t>
      </w:r>
    </w:p>
    <w:p>
      <w:pPr>
        <w:spacing w:after="120" w:before="0"/>
        <w:ind w:left="863"/>
        <w:jc w:val="both"/>
      </w:pPr>
      <w:r>
        <w:rPr>
          <w:rFonts w:ascii="Garamond" w:cs="Garamond" w:eastAsia="Garamond" w:hAnsi="Garamond"/>
          <w:color w:val="2a2520"/>
          <w:sz w:val="22"/>
          <w:szCs w:val="22"/>
        </w:rPr>
        <w:t xml:space="preserve">Conflict resolution during active military operations — four steps: written NRS objection within 6 hours; 12-hour negotiation window; SC emergency domain determination within 24 hours on petition; pending ruling, Presidential order governs only for operations directly connected to the active military situation while all other government functions follow the PM. Prevents either executive from using military operations as cover to assert authority over the other's domain.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863"/>
      </w:pPr>
      <w:r>
        <w:rPr>
          <w:rFonts w:ascii="Courier New" w:cs="Courier New" w:eastAsia="Courier New" w:hAnsi="Courier New"/>
          <w:b/>
          <w:bCs/>
          <w:color w:val="1B2A4A"/>
          <w:sz w:val="18"/>
          <w:szCs w:val="18"/>
        </w:rPr>
        <w:t xml:space="preserve">§2.1.i  </w:t>
      </w:r>
      <w:r>
        <w:rPr>
          <w:rFonts w:ascii="Garamond" w:cs="Garamond" w:eastAsia="Garamond" w:hAnsi="Garamond"/>
          <w:b/>
          <w:bCs/>
          <w:color w:val="1B2A4A"/>
          <w:sz w:val="22"/>
          <w:szCs w:val="22"/>
        </w:rPr>
        <w:t xml:space="preserve">International Trade Authority</w:t>
      </w:r>
    </w:p>
    <w:p>
      <w:pPr>
        <w:spacing w:after="120" w:before="0"/>
        <w:ind w:left="863"/>
        <w:jc w:val="both"/>
      </w:pPr>
      <w:r>
        <w:rPr>
          <w:rFonts w:ascii="Garamond" w:cs="Garamond" w:eastAsia="Garamond" w:hAnsi="Garamond"/>
          <w:color w:val="2a2520"/>
          <w:sz w:val="22"/>
          <w:szCs w:val="22"/>
        </w:rPr>
        <w:t xml:space="preserve">President negotiates and concludes trade agreements; PM written concurrence required where materially affecting the domestic economy. The SC ruled in The Concurrence Dispute (Year 28) that national treatment obligations within Republic territory require PM concurrence — they directly govern how domestic industry is regulated. Where PM concurrence is withheld, domestic provisions may be transmitted to the House Speaker as ordinary legislation. Ratification by 2/3 Senate majority under §3.2.e.</w:t>
      </w:r>
    </w:p>
    <w:p>
      <w:pPr>
        <w:spacing w:after="60" w:before="200"/>
        <w:ind w:left="863"/>
      </w:pPr>
      <w:r>
        <w:rPr>
          <w:rFonts w:ascii="Courier New" w:cs="Courier New" w:eastAsia="Courier New" w:hAnsi="Courier New"/>
          <w:b/>
          <w:bCs/>
          <w:color w:val="1B2A4A"/>
          <w:sz w:val="18"/>
          <w:szCs w:val="18"/>
        </w:rPr>
        <w:t xml:space="preserve">§2.1.j  </w:t>
      </w:r>
      <w:r>
        <w:rPr>
          <w:rFonts w:ascii="Garamond" w:cs="Garamond" w:eastAsia="Garamond" w:hAnsi="Garamond"/>
          <w:b/>
          <w:bCs/>
          <w:color w:val="1B2A4A"/>
          <w:sz w:val="22"/>
          <w:szCs w:val="22"/>
        </w:rPr>
        <w:t xml:space="preserve">Presidential Officer Appointments and Removal</w:t>
      </w:r>
    </w:p>
    <w:p>
      <w:pPr>
        <w:spacing w:after="120" w:before="0"/>
        <w:ind w:left="863"/>
        <w:jc w:val="both"/>
      </w:pPr>
      <w:r>
        <w:rPr>
          <w:rFonts w:ascii="Garamond" w:cs="Garamond" w:eastAsia="Garamond" w:hAnsi="Garamond"/>
          <w:color w:val="2a2520"/>
          <w:sz w:val="22"/>
          <w:szCs w:val="22"/>
        </w:rPr>
        <w:t xml:space="preserve">The three Presidential domain officers: Director of Intelligence, Secretary for Foreign Affairs, Secretary for Defense. PM nominates from the JI-maintained candidate registry; Senate confirms by simple majority. PM failure to nominate within 90 days triggers the Senate nomination pathway. Senate confirmation provides a check on the President's operational domain — the President directs these officers but does not control who holds the positions.</w:t>
      </w:r>
    </w:p>
    <w:p>
      <w:pPr>
        <w:spacing w:after="60" w:before="200"/>
        <w:ind w:left="431"/>
      </w:pPr>
      <w:r>
        <w:rPr>
          <w:rFonts w:ascii="Courier New" w:cs="Courier New" w:eastAsia="Courier New" w:hAnsi="Courier New"/>
          <w:b/>
          <w:bCs/>
          <w:color w:val="1B2A4A"/>
          <w:sz w:val="18"/>
          <w:szCs w:val="18"/>
        </w:rPr>
        <w:t xml:space="preserve">§2.10  </w:t>
      </w:r>
      <w:r>
        <w:rPr>
          <w:rFonts w:ascii="Garamond" w:cs="Garamond" w:eastAsia="Garamond" w:hAnsi="Garamond"/>
          <w:b/>
          <w:bCs/>
          <w:color w:val="1B2A4A"/>
          <w:sz w:val="22"/>
          <w:szCs w:val="22"/>
        </w:rPr>
        <w:t xml:space="preserve">Presidential Removal — Two Political Tracks</w:t>
      </w:r>
    </w:p>
    <w:p>
      <w:pPr>
        <w:spacing w:after="120" w:before="0"/>
        <w:ind w:left="431"/>
        <w:jc w:val="both"/>
      </w:pPr>
      <w:r>
        <w:rPr>
          <w:rFonts w:ascii="Garamond" w:cs="Garamond" w:eastAsia="Garamond" w:hAnsi="Garamond"/>
          <w:color w:val="2a2520"/>
          <w:sz w:val="22"/>
          <w:szCs w:val="22"/>
        </w:rPr>
        <w:t xml:space="preserve">Presidential removal — two independent paths. Legislative: 2/3 of both chambers simultaneously following Inspectorate-certified findings. Popular: 15% citizen petition triggers a national referendum requiring 60% affirmative with 55% participation. The popular path exists precisely because the Legislature might protect a President it benefits from.</w:t>
      </w:r>
    </w:p>
    <w:p>
      <w:pPr>
        <w:spacing w:after="60" w:before="200"/>
        <w:ind w:left="863"/>
      </w:pPr>
      <w:r>
        <w:rPr>
          <w:rFonts w:ascii="Courier New" w:cs="Courier New" w:eastAsia="Courier New" w:hAnsi="Courier New"/>
          <w:b/>
          <w:bCs/>
          <w:color w:val="1B2A4A"/>
          <w:sz w:val="18"/>
          <w:szCs w:val="18"/>
        </w:rPr>
        <w:t xml:space="preserve">§2.10.a  </w:t>
      </w:r>
      <w:r>
        <w:rPr>
          <w:rFonts w:ascii="Garamond" w:cs="Garamond" w:eastAsia="Garamond" w:hAnsi="Garamond"/>
          <w:b/>
          <w:bCs/>
          <w:color w:val="1B2A4A"/>
          <w:sz w:val="22"/>
          <w:szCs w:val="22"/>
        </w:rPr>
        <w:t xml:space="preserve">Legislative Removal</w:t>
      </w:r>
    </w:p>
    <w:p>
      <w:pPr>
        <w:spacing w:after="120" w:before="0"/>
        <w:ind w:left="863"/>
        <w:jc w:val="both"/>
      </w:pPr>
      <w:r>
        <w:rPr>
          <w:rFonts w:ascii="Garamond" w:cs="Garamond" w:eastAsia="Garamond" w:hAnsi="Garamond"/>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 — prevents politically motivated removal.</w:t>
      </w:r>
    </w:p>
    <w:p>
      <w:pPr>
        <w:spacing w:after="60" w:before="200"/>
        <w:ind w:left="863"/>
      </w:pPr>
      <w:r>
        <w:rPr>
          <w:rFonts w:ascii="Courier New" w:cs="Courier New" w:eastAsia="Courier New" w:hAnsi="Courier New"/>
          <w:b/>
          <w:bCs/>
          <w:color w:val="1B2A4A"/>
          <w:sz w:val="18"/>
          <w:szCs w:val="18"/>
        </w:rPr>
        <w:t xml:space="preserve">§2.10.b  </w:t>
      </w:r>
      <w:r>
        <w:rPr>
          <w:rFonts w:ascii="Garamond" w:cs="Garamond" w:eastAsia="Garamond" w:hAnsi="Garamond"/>
          <w:b/>
          <w:bCs/>
          <w:color w:val="1B2A4A"/>
          <w:sz w:val="22"/>
          <w:szCs w:val="22"/>
        </w:rPr>
        <w:t xml:space="preserve">Senate Referral to Popular Recall</w:t>
      </w:r>
    </w:p>
    <w:p>
      <w:pPr>
        <w:spacing w:after="120" w:before="0"/>
        <w:ind w:left="863"/>
        <w:jc w:val="both"/>
      </w:pPr>
      <w:r>
        <w:rPr>
          <w:rFonts w:ascii="Garamond" w:cs="Garamond" w:eastAsia="Garamond" w:hAnsi="Garamond"/>
          <w:color w:val="2a2520"/>
          <w:sz w:val="22"/>
          <w:szCs w:val="22"/>
        </w:rPr>
        <w:t xml:space="preserve">Popular removal referendum — if the 15% petition threshold is met, the EC administers a referendum within 90 days. 60% affirmative with 55% participation required. A failed referendum cannot be re-initiated for 2 years on the same grounds.</w:t>
      </w:r>
    </w:p>
    <w:p>
      <w:pPr>
        <w:spacing w:after="60" w:before="200"/>
        <w:ind w:left="863"/>
      </w:pPr>
      <w:r>
        <w:rPr>
          <w:rFonts w:ascii="Courier New" w:cs="Courier New" w:eastAsia="Courier New" w:hAnsi="Courier New"/>
          <w:b/>
          <w:bCs/>
          <w:color w:val="1B2A4A"/>
          <w:sz w:val="18"/>
          <w:szCs w:val="18"/>
        </w:rPr>
        <w:t xml:space="preserve">§2.10.c  </w:t>
      </w:r>
      <w:r>
        <w:rPr>
          <w:rFonts w:ascii="Garamond" w:cs="Garamond" w:eastAsia="Garamond" w:hAnsi="Garamond"/>
          <w:b/>
          <w:bCs/>
          <w:color w:val="1B2A4A"/>
          <w:sz w:val="22"/>
          <w:szCs w:val="22"/>
        </w:rPr>
        <w:t xml:space="preserve">One Referral Per Term</w:t>
      </w:r>
    </w:p>
    <w:p>
      <w:pPr>
        <w:spacing w:after="120" w:before="0"/>
        <w:ind w:left="863"/>
        <w:jc w:val="both"/>
      </w:pPr>
      <w:r>
        <w:rPr>
          <w:rFonts w:ascii="Garamond" w:cs="Garamond" w:eastAsia="Garamond" w:hAnsi="Garamond"/>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pPr>
        <w:spacing w:after="60" w:before="200"/>
        <w:ind w:left="431"/>
      </w:pPr>
      <w:r>
        <w:rPr>
          <w:rFonts w:ascii="Courier New" w:cs="Courier New" w:eastAsia="Courier New" w:hAnsi="Courier New"/>
          <w:b/>
          <w:bCs/>
          <w:color w:val="1B2A4A"/>
          <w:sz w:val="18"/>
          <w:szCs w:val="18"/>
        </w:rPr>
        <w:t xml:space="preserve">§2.2  </w:t>
      </w:r>
      <w:r>
        <w:rPr>
          <w:rFonts w:ascii="Garamond" w:cs="Garamond" w:eastAsia="Garamond" w:hAnsi="Garamond"/>
          <w:b/>
          <w:bCs/>
          <w:color w:val="1B2A4A"/>
          <w:sz w:val="22"/>
          <w:szCs w:val="22"/>
        </w:rPr>
        <w:t xml:space="preserve">The Prime Minister — Domestic Executive Domain</w:t>
      </w:r>
    </w:p>
    <w:p>
      <w:pPr>
        <w:spacing w:after="120" w:before="0"/>
        <w:ind w:left="431"/>
        <w:jc w:val="both"/>
      </w:pPr>
      <w:r>
        <w:rPr>
          <w:rFonts w:ascii="Garamond" w:cs="Garamond" w:eastAsia="Garamond" w:hAnsi="Garamond"/>
          <w:color w:val="2a2520"/>
          <w:sz w:val="22"/>
          <w:szCs w:val="22"/>
        </w:rPr>
        <w:t xml:space="preserve">The PM domain opening — residual authority. Everything not enumerated as Presidential is the PM's. Domestic policy, fiscal policy, BNF administration, legislation review, judicial nominations, independent agency appointments, PM clemency. The PM answers to the House through the confidence mechanism — unlike the President, who is directly elected and does not require legislative confidence.</w:t>
      </w:r>
    </w:p>
    <w:p>
      <w:pPr>
        <w:spacing w:after="60" w:before="200"/>
        <w:ind w:left="863"/>
      </w:pPr>
      <w:r>
        <w:rPr>
          <w:rFonts w:ascii="Courier New" w:cs="Courier New" w:eastAsia="Courier New" w:hAnsi="Courier New"/>
          <w:b/>
          <w:bCs/>
          <w:color w:val="1B2A4A"/>
          <w:sz w:val="18"/>
          <w:szCs w:val="18"/>
        </w:rPr>
        <w:t xml:space="preserve">§2.2.a  </w:t>
      </w:r>
      <w:r>
        <w:rPr>
          <w:rFonts w:ascii="Garamond" w:cs="Garamond" w:eastAsia="Garamond" w:hAnsi="Garamond"/>
          <w:b/>
          <w:bCs/>
          <w:color w:val="1B2A4A"/>
          <w:sz w:val="22"/>
          <w:szCs w:val="22"/>
        </w:rPr>
        <w:t xml:space="preserve">The Record System Mandate</w:t>
      </w:r>
    </w:p>
    <w:p>
      <w:pPr>
        <w:spacing w:after="120" w:before="0"/>
        <w:ind w:left="863"/>
        <w:jc w:val="both"/>
      </w:pPr>
      <w:r>
        <w:rPr>
          <w:rFonts w:ascii="Garamond" w:cs="Garamond" w:eastAsia="Garamond" w:hAnsi="Garamond"/>
          <w:color w:val="2a2520"/>
          <w:sz w:val="22"/>
          <w:szCs w:val="22"/>
        </w:rPr>
        <w:t xml:space="preserve">Domestic Policy Authority — the PM's broadest power. Healthcare, education, infrastructure, housing, labour, environment, all domestic regulatory frameworks. The residual nature of PM authority means any new policy domain that emerges belongs to the PM unless it clearly falls within the President's enumerated security domain.</w:t>
      </w:r>
    </w:p>
    <w:p>
      <w:pPr>
        <w:spacing w:after="60" w:before="200"/>
        <w:ind w:left="863"/>
      </w:pPr>
      <w:r>
        <w:rPr>
          <w:rFonts w:ascii="Courier New" w:cs="Courier New" w:eastAsia="Courier New" w:hAnsi="Courier New"/>
          <w:b/>
          <w:bCs/>
          <w:color w:val="1B2A4A"/>
          <w:sz w:val="18"/>
          <w:szCs w:val="18"/>
        </w:rPr>
        <w:t xml:space="preserve">§2.2.b  </w:t>
      </w:r>
      <w:r>
        <w:rPr>
          <w:rFonts w:ascii="Garamond" w:cs="Garamond" w:eastAsia="Garamond" w:hAnsi="Garamond"/>
          <w:b/>
          <w:bCs/>
          <w:color w:val="1B2A4A"/>
          <w:sz w:val="22"/>
          <w:szCs w:val="22"/>
        </w:rPr>
        <w:t xml:space="preserve">Duty of Refusal</w:t>
      </w:r>
    </w:p>
    <w:p>
      <w:pPr>
        <w:spacing w:after="120" w:before="0"/>
        <w:ind w:left="863"/>
        <w:jc w:val="both"/>
      </w:pPr>
      <w:r>
        <w:rPr>
          <w:rFonts w:ascii="Garamond" w:cs="Garamond" w:eastAsia="Garamond" w:hAnsi="Garamond"/>
          <w:color w:val="2a2520"/>
          <w:sz w:val="22"/>
          <w:szCs w:val="22"/>
        </w:rPr>
        <w:t xml:space="preserve">PM appoints senior domestic officers from JI-maintained candidate registries.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863"/>
      </w:pPr>
      <w:r>
        <w:rPr>
          <w:rFonts w:ascii="Courier New" w:cs="Courier New" w:eastAsia="Courier New" w:hAnsi="Courier New"/>
          <w:b/>
          <w:bCs/>
          <w:color w:val="1B2A4A"/>
          <w:sz w:val="18"/>
          <w:szCs w:val="18"/>
        </w:rPr>
        <w:t xml:space="preserve">§2.2.c  </w:t>
      </w:r>
      <w:r>
        <w:rPr>
          <w:rFonts w:ascii="Garamond" w:cs="Garamond" w:eastAsia="Garamond" w:hAnsi="Garamond"/>
          <w:b/>
          <w:bCs/>
          <w:color w:val="1B2A4A"/>
          <w:sz w:val="22"/>
          <w:szCs w:val="22"/>
        </w:rPr>
        <w:t xml:space="preserve">PM Maximum Consecutive Service</w:t>
      </w:r>
    </w:p>
    <w:p>
      <w:pPr>
        <w:spacing w:after="120" w:before="0"/>
        <w:ind w:left="863"/>
        <w:jc w:val="both"/>
      </w:pPr>
      <w:r>
        <w:rPr>
          <w:rFonts w:ascii="Garamond" w:cs="Garamond" w:eastAsia="Garamond" w:hAnsi="Garamond"/>
          <w:color w:val="2a2520"/>
          <w:sz w:val="22"/>
          <w:szCs w:val="22"/>
        </w:rPr>
        <w:t xml:space="preserve">Fiscal policy and budget — the PM's central domestic power. 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863"/>
      </w:pPr>
      <w:r>
        <w:rPr>
          <w:rFonts w:ascii="Courier New" w:cs="Courier New" w:eastAsia="Courier New" w:hAnsi="Courier New"/>
          <w:b/>
          <w:bCs/>
          <w:color w:val="1B2A4A"/>
          <w:sz w:val="18"/>
          <w:szCs w:val="18"/>
        </w:rPr>
        <w:t xml:space="preserve">§2.2.d  </w:t>
      </w:r>
      <w:r>
        <w:rPr>
          <w:rFonts w:ascii="Garamond" w:cs="Garamond" w:eastAsia="Garamond" w:hAnsi="Garamond"/>
          <w:b/>
          <w:bCs/>
          <w:color w:val="1B2A4A"/>
          <w:sz w:val="22"/>
          <w:szCs w:val="22"/>
        </w:rPr>
        <w:t xml:space="preserve">Civil Service Integrity</w:t>
      </w:r>
    </w:p>
    <w:p>
      <w:pPr>
        <w:spacing w:after="120" w:before="0"/>
        <w:ind w:left="863"/>
        <w:jc w:val="both"/>
      </w:pPr>
      <w:r>
        <w:rPr>
          <w:rFonts w:ascii="Garamond" w:cs="Garamond" w:eastAsia="Garamond" w:hAnsi="Garamond"/>
          <w:color w:val="2a2520"/>
          <w:sz w:val="22"/>
          <w:szCs w:val="22"/>
        </w:rPr>
        <w:t xml:space="preserve">Legislative Review Period — the PM reviews all enacted legislation. Three options: sign (or remain silent, triggering Deemed Enactment), Fiscal Objection, or Suspensive Veto. The PM's silence enacts a bill — there is no veto by inaction. The Suspensive Veto returns the bill to the Legislature, which may override by 2/3 of both chambers simultaneously.</w:t>
      </w:r>
    </w:p>
    <w:p>
      <w:pPr>
        <w:spacing w:after="60" w:before="200"/>
        <w:ind w:left="863"/>
      </w:pPr>
      <w:r>
        <w:rPr>
          <w:rFonts w:ascii="Courier New" w:cs="Courier New" w:eastAsia="Courier New" w:hAnsi="Courier New"/>
          <w:b/>
          <w:bCs/>
          <w:color w:val="1B2A4A"/>
          <w:sz w:val="18"/>
          <w:szCs w:val="18"/>
        </w:rPr>
        <w:t xml:space="preserve">§2.2.e  </w:t>
      </w:r>
      <w:r>
        <w:rPr>
          <w:rFonts w:ascii="Garamond" w:cs="Garamond" w:eastAsia="Garamond" w:hAnsi="Garamond"/>
          <w:b/>
          <w:bCs/>
          <w:color w:val="1B2A4A"/>
          <w:sz w:val="22"/>
          <w:szCs w:val="22"/>
        </w:rPr>
        <w:t xml:space="preserve">Domestic Emergency Authority</w:t>
      </w:r>
    </w:p>
    <w:p>
      <w:pPr>
        <w:spacing w:after="120" w:before="0"/>
        <w:ind w:left="863"/>
        <w:jc w:val="both"/>
      </w:pPr>
      <w:r>
        <w:rPr>
          <w:rFonts w:ascii="Garamond" w:cs="Garamond" w:eastAsia="Garamond" w:hAnsi="Garamond"/>
          <w:color w:val="2a2520"/>
          <w:sz w:val="22"/>
          <w:szCs w:val="22"/>
        </w:rPr>
        <w:t xml:space="preserve">Domestic Emergency Authority — 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863"/>
      </w:pPr>
      <w:r>
        <w:rPr>
          <w:rFonts w:ascii="Courier New" w:cs="Courier New" w:eastAsia="Courier New" w:hAnsi="Courier New"/>
          <w:b/>
          <w:bCs/>
          <w:color w:val="1B2A4A"/>
          <w:sz w:val="18"/>
          <w:szCs w:val="18"/>
        </w:rPr>
        <w:t xml:space="preserve">§2.2.f  </w:t>
      </w:r>
      <w:r>
        <w:rPr>
          <w:rFonts w:ascii="Garamond" w:cs="Garamond" w:eastAsia="Garamond" w:hAnsi="Garamond"/>
          <w:b/>
          <w:bCs/>
          <w:color w:val="1B2A4A"/>
          <w:sz w:val="22"/>
          <w:szCs w:val="22"/>
        </w:rPr>
        <w:t xml:space="preserve">PM Clemency</w:t>
      </w:r>
    </w:p>
    <w:p>
      <w:pPr>
        <w:spacing w:after="120" w:before="0"/>
        <w:ind w:left="863"/>
        <w:jc w:val="both"/>
      </w:pPr>
      <w:r>
        <w:rPr>
          <w:rFonts w:ascii="Garamond" w:cs="Garamond" w:eastAsia="Garamond" w:hAnsi="Garamond"/>
          <w:color w:val="2a2520"/>
          <w:sz w:val="22"/>
          <w:szCs w:val="22"/>
        </w:rPr>
        <w:t xml:space="preserve">PM clemency for domestic offenses — 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863"/>
      </w:pPr>
      <w:r>
        <w:rPr>
          <w:rFonts w:ascii="Courier New" w:cs="Courier New" w:eastAsia="Courier New" w:hAnsi="Courier New"/>
          <w:b/>
          <w:bCs/>
          <w:color w:val="1B2A4A"/>
          <w:sz w:val="18"/>
          <w:szCs w:val="18"/>
        </w:rPr>
        <w:t xml:space="preserve">§2.2.g  </w:t>
      </w:r>
      <w:r>
        <w:rPr>
          <w:rFonts w:ascii="Garamond" w:cs="Garamond" w:eastAsia="Garamond" w:hAnsi="Garamond"/>
          <w:b/>
          <w:bCs/>
          <w:color w:val="1B2A4A"/>
          <w:sz w:val="22"/>
          <w:szCs w:val="22"/>
        </w:rPr>
        <w:t xml:space="preserve">Ministerial Appointments</w:t>
      </w:r>
    </w:p>
    <w:p>
      <w:pPr>
        <w:spacing w:after="120" w:before="0"/>
        <w:ind w:left="863"/>
        <w:jc w:val="both"/>
      </w:pPr>
      <w:r>
        <w:rPr>
          <w:rFonts w:ascii="Garamond" w:cs="Garamond" w:eastAsia="Garamond" w:hAnsi="Garamond"/>
          <w:color w:val="2a2520"/>
          <w:sz w:val="22"/>
          <w:szCs w:val="22"/>
        </w:rPr>
        <w:t xml:space="preserve">PM Information Rights — the PM has a constitutional right to full and timely briefing on all national security matters affecting domestic interests. The President may not withhold information from the PM on grounds of security classification where the PM's domestic responsibilities are genuinely engaged. The Intelligence Firewall under §1.29.d applies equally to both executives.</w:t>
      </w:r>
    </w:p>
    <w:p>
      <w:pPr>
        <w:spacing w:after="60" w:before="200"/>
        <w:ind w:left="863"/>
      </w:pPr>
      <w:r>
        <w:rPr>
          <w:rFonts w:ascii="Courier New" w:cs="Courier New" w:eastAsia="Courier New" w:hAnsi="Courier New"/>
          <w:b/>
          <w:bCs/>
          <w:color w:val="1B2A4A"/>
          <w:sz w:val="18"/>
          <w:szCs w:val="18"/>
        </w:rPr>
        <w:t xml:space="preserve">§2.2.h  </w:t>
      </w:r>
      <w:r>
        <w:rPr>
          <w:rFonts w:ascii="Garamond" w:cs="Garamond" w:eastAsia="Garamond" w:hAnsi="Garamond"/>
          <w:b/>
          <w:bCs/>
          <w:color w:val="1B2A4A"/>
          <w:sz w:val="22"/>
          <w:szCs w:val="22"/>
        </w:rPr>
        <w:t xml:space="preserve">Administrative Acting Officer Framework</w:t>
      </w:r>
    </w:p>
    <w:p>
      <w:pPr>
        <w:spacing w:after="120" w:before="0"/>
        <w:ind w:left="863"/>
        <w:jc w:val="both"/>
      </w:pPr>
      <w:r>
        <w:rPr>
          <w:rFonts w:ascii="Garamond" w:cs="Garamond" w:eastAsia="Garamond" w:hAnsi="Garamond"/>
          <w:color w:val="2a2520"/>
          <w:sz w:val="22"/>
          <w:szCs w:val="22"/>
        </w:rPr>
        <w:t xml:space="preserve">Acting PM provisions — who governs when the PM cannot. The most senior Domestic Affairs Council Officer (SDACO) serves as Caretaker PM. The SDACO's authority is limited to maintaining existing policy and emergency functions. Caretaker status expires when a new PM takes confidence.</w:t>
      </w:r>
    </w:p>
    <w:p>
      <w:pPr>
        <w:spacing w:after="60" w:before="200"/>
        <w:ind w:left="863"/>
      </w:pPr>
      <w:r>
        <w:rPr>
          <w:rFonts w:ascii="Courier New" w:cs="Courier New" w:eastAsia="Courier New" w:hAnsi="Courier New"/>
          <w:b/>
          <w:bCs/>
          <w:color w:val="1B2A4A"/>
          <w:sz w:val="18"/>
          <w:szCs w:val="18"/>
        </w:rPr>
        <w:t xml:space="preserve">§2.3.a  </w:t>
      </w:r>
      <w:r>
        <w:rPr>
          <w:rFonts w:ascii="Garamond" w:cs="Garamond" w:eastAsia="Garamond" w:hAnsi="Garamond"/>
          <w:b/>
          <w:bCs/>
          <w:color w:val="1B2A4A"/>
          <w:sz w:val="22"/>
          <w:szCs w:val="22"/>
        </w:rPr>
        <w:t xml:space="preserve">Selection</w:t>
      </w:r>
    </w:p>
    <w:p>
      <w:pPr>
        <w:spacing w:after="120" w:before="0"/>
        <w:ind w:left="863"/>
        <w:jc w:val="both"/>
      </w:pPr>
      <w:r>
        <w:rPr>
          <w:rFonts w:ascii="Garamond" w:cs="Garamond" w:eastAsia="Garamond" w:hAnsi="Garamond"/>
          <w:color w:val="2a2520"/>
          <w:sz w:val="22"/>
          <w:szCs w:val="22"/>
        </w:rPr>
        <w:t xml:space="preserve">The Constructive Vote of No Confidence — the House cannot simply vote 'no confidence' and leave a vacuum; it must simultaneously elect a replacement by absolute majority of full seated House membership. Both the removal and successor election occur in the same vote. This prevents parliamentary paralysis — the House can only remove a PM if it has already agreed on who comes next.</w:t>
      </w:r>
    </w:p>
    <w:p>
      <w:pPr>
        <w:spacing w:after="60" w:before="200"/>
        <w:ind w:left="863"/>
      </w:pPr>
      <w:r>
        <w:rPr>
          <w:rFonts w:ascii="Courier New" w:cs="Courier New" w:eastAsia="Courier New" w:hAnsi="Courier New"/>
          <w:b/>
          <w:bCs/>
          <w:color w:val="1B2A4A"/>
          <w:sz w:val="18"/>
          <w:szCs w:val="18"/>
        </w:rPr>
        <w:t xml:space="preserve">§2.3.b  </w:t>
      </w:r>
      <w:r>
        <w:rPr>
          <w:rFonts w:ascii="Garamond" w:cs="Garamond" w:eastAsia="Garamond" w:hAnsi="Garamond"/>
          <w:b/>
          <w:bCs/>
          <w:color w:val="1B2A4A"/>
          <w:sz w:val="22"/>
          <w:szCs w:val="22"/>
        </w:rPr>
        <w:t xml:space="preserve">Constructive Vote of No Confidence</w:t>
      </w:r>
    </w:p>
    <w:p>
      <w:pPr>
        <w:spacing w:after="120" w:before="0"/>
        <w:ind w:left="863"/>
        <w:jc w:val="both"/>
      </w:pPr>
      <w:r>
        <w:rPr>
          <w:rFonts w:ascii="Garamond" w:cs="Garamond" w:eastAsia="Garamond" w:hAnsi="Garamond"/>
          <w:color w:val="2a2520"/>
          <w:sz w:val="22"/>
          <w:szCs w:val="22"/>
        </w:rPr>
        <w:t xml:space="preserve">The 8-year maximum — no PM may serve more than 8 consecutive years. After 8 years, the PM must stand down even if the House would re-elect them. The 8-year maximum and the constructive vote operate independently — a PM reaching 8 years is replaced through a House election of a successor.</w:t>
      </w:r>
    </w:p>
    <w:p>
      <w:pPr>
        <w:spacing w:after="60" w:before="200"/>
        <w:ind w:left="863"/>
      </w:pPr>
      <w:r>
        <w:rPr>
          <w:rFonts w:ascii="Courier New" w:cs="Courier New" w:eastAsia="Courier New" w:hAnsi="Courier New"/>
          <w:b/>
          <w:bCs/>
          <w:color w:val="1B2A4A"/>
          <w:sz w:val="18"/>
          <w:szCs w:val="18"/>
        </w:rPr>
        <w:t xml:space="preserve">§2.3.c  </w:t>
      </w:r>
      <w:r>
        <w:rPr>
          <w:rFonts w:ascii="Garamond" w:cs="Garamond" w:eastAsia="Garamond" w:hAnsi="Garamond"/>
          <w:b/>
          <w:bCs/>
          <w:color w:val="1B2A4A"/>
          <w:sz w:val="22"/>
          <w:szCs w:val="22"/>
        </w:rPr>
        <w:t xml:space="preserve">Caretaker Protocol</w:t>
      </w:r>
    </w:p>
    <w:p>
      <w:pPr>
        <w:spacing w:after="120" w:before="0"/>
        <w:ind w:left="863"/>
        <w:jc w:val="both"/>
      </w:pPr>
      <w:r>
        <w:rPr>
          <w:rFonts w:ascii="Garamond" w:cs="Garamond" w:eastAsia="Garamond" w:hAnsi="Garamond"/>
          <w:color w:val="2a2520"/>
          <w:sz w:val="22"/>
          <w:szCs w:val="22"/>
        </w:rPr>
        <w:t xml:space="preserve">Initial election of the PM — the House elects the PM by absolute majority of full seated membership within 30 days of any general election. The House may attempt to elect a PM at any time. If the House has not elected a PM within 30 days, the SDACO continues as Caretaker PM.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w:t>
      </w:r>
    </w:p>
    <w:p>
      <w:pPr>
        <w:spacing w:after="60" w:before="200"/>
        <w:ind w:left="863"/>
      </w:pPr>
      <w:r>
        <w:rPr>
          <w:rFonts w:ascii="Courier New" w:cs="Courier New" w:eastAsia="Courier New" w:hAnsi="Courier New"/>
          <w:b/>
          <w:bCs/>
          <w:color w:val="1B2A4A"/>
          <w:sz w:val="18"/>
          <w:szCs w:val="18"/>
        </w:rPr>
        <w:t xml:space="preserve">§2.4.a  </w:t>
      </w:r>
      <w:r>
        <w:rPr>
          <w:rFonts w:ascii="Garamond" w:cs="Garamond" w:eastAsia="Garamond" w:hAnsi="Garamond"/>
          <w:b/>
          <w:bCs/>
          <w:color w:val="1B2A4A"/>
          <w:sz w:val="22"/>
          <w:szCs w:val="22"/>
        </w:rPr>
        <w:t xml:space="preserve">Suspensive Veto</w:t>
      </w:r>
    </w:p>
    <w:p>
      <w:pPr>
        <w:spacing w:after="120" w:before="0"/>
        <w:ind w:left="863"/>
        <w:jc w:val="both"/>
      </w:pPr>
      <w:r>
        <w:rPr>
          <w:rFonts w:ascii="Garamond" w:cs="Garamond" w:eastAsia="Garamond" w:hAnsi="Garamond"/>
          <w:color w:val="2a2520"/>
          <w:sz w:val="22"/>
          <w:szCs w:val="22"/>
        </w:rPr>
        <w:t xml:space="preserve">Suspensive Veto — returns the bill to the Legislature with written constitutional grounds. Legislature may override by 2/3 of both chambers simultaneously. The PM must give the LI's constitutional analysis due consideration before issuing a Suspensive Veto. A veto issued purely for political reasons without constitutional grounds is a constitutional breach. Used in The Stagflation Years when the PM correctly identified the Mandate Rebalancing Act as void under §10.4.b.</w:t>
      </w:r>
    </w:p>
    <w:p>
      <w:pPr>
        <w:spacing w:after="60" w:before="200"/>
        <w:ind w:left="863"/>
      </w:pPr>
      <w:r>
        <w:rPr>
          <w:rFonts w:ascii="Courier New" w:cs="Courier New" w:eastAsia="Courier New" w:hAnsi="Courier New"/>
          <w:b/>
          <w:bCs/>
          <w:color w:val="1B2A4A"/>
          <w:sz w:val="18"/>
          <w:szCs w:val="18"/>
        </w:rPr>
        <w:t xml:space="preserve">§2.4.b  </w:t>
      </w:r>
      <w:r>
        <w:rPr>
          <w:rFonts w:ascii="Garamond" w:cs="Garamond" w:eastAsia="Garamond" w:hAnsi="Garamond"/>
          <w:b/>
          <w:bCs/>
          <w:color w:val="1B2A4A"/>
          <w:sz w:val="22"/>
          <w:szCs w:val="22"/>
        </w:rPr>
        <w:t xml:space="preserve">Fiscal Objection</w:t>
      </w:r>
    </w:p>
    <w:p>
      <w:pPr>
        <w:spacing w:after="120" w:before="0"/>
        <w:ind w:left="863"/>
        <w:jc w:val="both"/>
      </w:pPr>
      <w:r>
        <w:rPr>
          <w:rFonts w:ascii="Garamond" w:cs="Garamond" w:eastAsia="Garamond" w:hAnsi="Garamond"/>
          <w:color w:val="2a2520"/>
          <w:sz w:val="22"/>
          <w:szCs w:val="22"/>
        </w:rPr>
        <w:t xml:space="preserve">Fiscal Objection — 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 'This is too expensive' is not a valid ground — 'this breaches the constitutional fiscal threshold' is.</w:t>
      </w:r>
    </w:p>
    <w:p>
      <w:pPr>
        <w:spacing w:after="60" w:before="200"/>
        <w:ind w:left="863"/>
      </w:pPr>
      <w:r>
        <w:rPr>
          <w:rFonts w:ascii="Courier New" w:cs="Courier New" w:eastAsia="Courier New" w:hAnsi="Courier New"/>
          <w:b/>
          <w:bCs/>
          <w:color w:val="1B2A4A"/>
          <w:sz w:val="18"/>
          <w:szCs w:val="18"/>
        </w:rPr>
        <w:t xml:space="preserve">§2.4.c  </w:t>
      </w:r>
      <w:r>
        <w:rPr>
          <w:rFonts w:ascii="Garamond" w:cs="Garamond" w:eastAsia="Garamond" w:hAnsi="Garamond"/>
          <w:b/>
          <w:bCs/>
          <w:color w:val="1B2A4A"/>
          <w:sz w:val="22"/>
          <w:szCs w:val="22"/>
        </w:rPr>
        <w:t xml:space="preserve">Objection Limits</w:t>
      </w:r>
    </w:p>
    <w:p>
      <w:pPr>
        <w:spacing w:after="120" w:before="0"/>
        <w:ind w:left="863"/>
        <w:jc w:val="both"/>
      </w:pPr>
      <w:r>
        <w:rPr>
          <w:rFonts w:ascii="Garamond" w:cs="Garamond" w:eastAsia="Garamond" w:hAnsi="Garamond"/>
          <w:color w:val="2a2520"/>
          <w:sz w:val="22"/>
          <w:szCs w:val="22"/>
        </w:rPr>
        <w:t xml:space="preserve">Deemed Enactment — if the PM neither signs, objects, nor vetoes within the Legislative Review Period, the bill is automatically enacted. Silence is not a veto. This prevents the PM from blocking legislation through inaction and forces the PM to take a public constitutional position on every bill.</w:t>
      </w:r>
    </w:p>
    <w:p>
      <w:pPr>
        <w:spacing w:after="60" w:before="200"/>
        <w:ind w:left="863"/>
      </w:pPr>
      <w:r>
        <w:rPr>
          <w:rFonts w:ascii="Courier New" w:cs="Courier New" w:eastAsia="Courier New" w:hAnsi="Courier New"/>
          <w:b/>
          <w:bCs/>
          <w:color w:val="1B2A4A"/>
          <w:sz w:val="18"/>
          <w:szCs w:val="18"/>
        </w:rPr>
        <w:t xml:space="preserve">§2.5.a  </w:t>
      </w:r>
      <w:r>
        <w:rPr>
          <w:rFonts w:ascii="Garamond" w:cs="Garamond" w:eastAsia="Garamond" w:hAnsi="Garamond"/>
          <w:b/>
          <w:bCs/>
          <w:color w:val="1B2A4A"/>
          <w:sz w:val="22"/>
          <w:szCs w:val="22"/>
        </w:rPr>
        <w:t xml:space="preserve">Emergency Legislative Continuity</w:t>
      </w:r>
    </w:p>
    <w:p>
      <w:pPr>
        <w:spacing w:after="120" w:before="0"/>
        <w:ind w:left="863"/>
        <w:jc w:val="both"/>
      </w:pPr>
      <w:r>
        <w:rPr>
          <w:rFonts w:ascii="Garamond" w:cs="Garamond" w:eastAsia="Garamond" w:hAnsi="Garamond"/>
          <w:color w:val="2a2520"/>
          <w:sz w:val="22"/>
          <w:szCs w:val="22"/>
        </w:rPr>
        <w:t xml:space="preserve">The Legislative Review Period — duration defined by statute, bounded between 7 and 30 days. The PM must act within the period. The period begins from final passage in both chambers, not from the PM's receipt of the bill.</w:t>
      </w:r>
    </w:p>
    <w:p>
      <w:pPr>
        <w:spacing w:after="60" w:before="200"/>
        <w:ind w:left="431"/>
      </w:pPr>
      <w:r>
        <w:rPr>
          <w:rFonts w:ascii="Courier New" w:cs="Courier New" w:eastAsia="Courier New" w:hAnsi="Courier New"/>
          <w:b/>
          <w:bCs/>
          <w:color w:val="1B2A4A"/>
          <w:sz w:val="18"/>
          <w:szCs w:val="18"/>
        </w:rPr>
        <w:t xml:space="preserve">§2.6  </w:t>
      </w:r>
      <w:r>
        <w:rPr>
          <w:rFonts w:ascii="Garamond" w:cs="Garamond" w:eastAsia="Garamond" w:hAnsi="Garamond"/>
          <w:b/>
          <w:bCs/>
          <w:color w:val="1B2A4A"/>
          <w:sz w:val="22"/>
          <w:szCs w:val="22"/>
        </w:rPr>
        <w:t xml:space="preserve">Presidential Succession</w:t>
      </w:r>
    </w:p>
    <w:p>
      <w:pPr>
        <w:spacing w:after="120" w:before="0"/>
        <w:ind w:left="431"/>
        <w:jc w:val="both"/>
      </w:pPr>
      <w:r>
        <w:rPr>
          <w:rFonts w:ascii="Garamond" w:cs="Garamond" w:eastAsia="Garamond" w:hAnsi="Garamond"/>
          <w:color w:val="2a2520"/>
          <w:sz w:val="22"/>
          <w:szCs w:val="22"/>
        </w:rPr>
        <w:t xml:space="preserve">Presidential Succession — a complete framework for filling a Presidential vacancy. The Speaker of the Senate serves as Acting President, immediately triggering a special presidential election. The design keeps succession within the elected political class rather than delegating it to an appointed official.</w:t>
      </w:r>
    </w:p>
    <w:p>
      <w:pPr>
        <w:spacing w:after="60" w:before="200"/>
        <w:ind w:left="863"/>
      </w:pPr>
      <w:r>
        <w:rPr>
          <w:rFonts w:ascii="Courier New" w:cs="Courier New" w:eastAsia="Courier New" w:hAnsi="Courier New"/>
          <w:b/>
          <w:bCs/>
          <w:color w:val="1B2A4A"/>
          <w:sz w:val="18"/>
          <w:szCs w:val="18"/>
        </w:rPr>
        <w:t xml:space="preserve">§2.6.a  </w:t>
      </w:r>
      <w:r>
        <w:rPr>
          <w:rFonts w:ascii="Garamond" w:cs="Garamond" w:eastAsia="Garamond" w:hAnsi="Garamond"/>
          <w:b/>
          <w:bCs/>
          <w:color w:val="1B2A4A"/>
          <w:sz w:val="22"/>
          <w:szCs w:val="22"/>
        </w:rPr>
        <w:t xml:space="preserve">Presidential Succession Line</w:t>
      </w:r>
    </w:p>
    <w:p>
      <w:pPr>
        <w:spacing w:after="120" w:before="0"/>
        <w:ind w:left="863"/>
        <w:jc w:val="both"/>
      </w:pPr>
      <w:r>
        <w:rPr>
          <w:rFonts w:ascii="Garamond" w:cs="Garamond" w:eastAsia="Garamond" w:hAnsi="Garamond"/>
          <w:color w:val="2a2520"/>
          <w:sz w:val="22"/>
          <w:szCs w:val="22"/>
        </w:rPr>
        <w:t xml:space="preserve">Acting Presidential Authority triggers automatically on Presidential death, resignation, removal, or certified permanent incapacity. The Senate Speaker assumes Acting Authority immediately — no gap, no confirmation required. The Senate Speaker's own Senate seat is simultaneously vacated; the Deputy Speaker assumes the Speaker role.</w:t>
      </w:r>
    </w:p>
    <w:p>
      <w:pPr>
        <w:spacing w:after="60" w:before="200"/>
        <w:ind w:left="863"/>
      </w:pPr>
      <w:r>
        <w:rPr>
          <w:rFonts w:ascii="Courier New" w:cs="Courier New" w:eastAsia="Courier New" w:hAnsi="Courier New"/>
          <w:b/>
          <w:bCs/>
          <w:color w:val="1B2A4A"/>
          <w:sz w:val="18"/>
          <w:szCs w:val="18"/>
        </w:rPr>
        <w:t xml:space="preserve">§2.6.b  </w:t>
      </w:r>
      <w:r>
        <w:rPr>
          <w:rFonts w:ascii="Garamond" w:cs="Garamond" w:eastAsia="Garamond" w:hAnsi="Garamond"/>
          <w:b/>
          <w:bCs/>
          <w:color w:val="1B2A4A"/>
          <w:sz w:val="22"/>
          <w:szCs w:val="22"/>
        </w:rPr>
        <w:t xml:space="preserve">Incapacity Certification</w:t>
      </w:r>
    </w:p>
    <w:p>
      <w:pPr>
        <w:spacing w:after="120" w:before="0"/>
        <w:ind w:left="863"/>
        <w:jc w:val="both"/>
      </w:pPr>
      <w:r>
        <w:rPr>
          <w:rFonts w:ascii="Garamond" w:cs="Garamond" w:eastAsia="Garamond" w:hAnsi="Garamond"/>
          <w:color w:val="2a2520"/>
          <w:sz w:val="22"/>
          <w:szCs w:val="22"/>
        </w:rPr>
        <w:t xml:space="preserve">The 90-day permanence assessment — if Acting Presidential Authority extends beyond 90 consecutive days, the PM and the Senate Speaker must jointly assess whether the incapacity has become permanent. Assessment repeats every 30 days if temporary incapacity is certified. Failure to conduct the mandatory 90-day assessment is a constitutional failure for both the PM and the most senior SC justice.</w:t>
      </w:r>
    </w:p>
    <w:p>
      <w:pPr>
        <w:spacing w:after="60" w:before="200"/>
        <w:ind w:left="863"/>
      </w:pPr>
      <w:r>
        <w:rPr>
          <w:rFonts w:ascii="Courier New" w:cs="Courier New" w:eastAsia="Courier New" w:hAnsi="Courier New"/>
          <w:b/>
          <w:bCs/>
          <w:color w:val="1B2A4A"/>
          <w:sz w:val="18"/>
          <w:szCs w:val="18"/>
        </w:rPr>
        <w:t xml:space="preserve">§2.6.c  </w:t>
      </w:r>
      <w:r>
        <w:rPr>
          <w:rFonts w:ascii="Garamond" w:cs="Garamond" w:eastAsia="Garamond" w:hAnsi="Garamond"/>
          <w:b/>
          <w:bCs/>
          <w:color w:val="1B2A4A"/>
          <w:sz w:val="22"/>
          <w:szCs w:val="22"/>
        </w:rPr>
        <w:t xml:space="preserve">Succession-Based Presidential Term</w:t>
      </w:r>
    </w:p>
    <w:p>
      <w:pPr>
        <w:spacing w:after="120" w:before="0"/>
        <w:ind w:left="863"/>
        <w:jc w:val="both"/>
      </w:pPr>
      <w:r>
        <w:rPr>
          <w:rFonts w:ascii="Garamond" w:cs="Garamond" w:eastAsia="Garamond" w:hAnsi="Garamond"/>
          <w:color w:val="2a2520"/>
          <w:sz w:val="22"/>
          <w:szCs w:val="22"/>
        </w:rPr>
        <w:t xml:space="preserve">A person who assumes the presidency by succession does not thereby expend their single non-renewable term. They must stand for election at the next regular National Election Day presidential cycle, or at a special election within 90 days of succession, to continue beyond the succession period. If elected, that term is their single non-renewable term.</w:t>
      </w:r>
    </w:p>
    <w:p>
      <w:pPr>
        <w:spacing w:after="60" w:before="200"/>
        <w:ind w:left="431"/>
      </w:pPr>
      <w:r>
        <w:rPr>
          <w:rFonts w:ascii="Courier New" w:cs="Courier New" w:eastAsia="Courier New" w:hAnsi="Courier New"/>
          <w:b/>
          <w:bCs/>
          <w:color w:val="1B2A4A"/>
          <w:sz w:val="18"/>
          <w:szCs w:val="18"/>
        </w:rPr>
        <w:t xml:space="preserve">§2.7  </w:t>
      </w:r>
      <w:r>
        <w:rPr>
          <w:rFonts w:ascii="Garamond" w:cs="Garamond" w:eastAsia="Garamond" w:hAnsi="Garamond"/>
          <w:b/>
          <w:bCs/>
          <w:color w:val="1B2A4A"/>
          <w:sz w:val="22"/>
          <w:szCs w:val="22"/>
        </w:rPr>
        <w:t xml:space="preserve">Executive Transparency and NRS Obligations</w:t>
      </w:r>
    </w:p>
    <w:p>
      <w:pPr>
        <w:spacing w:after="120" w:before="0"/>
        <w:ind w:left="431"/>
        <w:jc w:val="both"/>
      </w:pPr>
      <w:r>
        <w:rPr>
          <w:rFonts w:ascii="Garamond" w:cs="Garamond" w:eastAsia="Garamond" w:hAnsi="Garamond"/>
          <w:color w:val="2a2520"/>
          <w:sz w:val="22"/>
          <w:szCs w:val="22"/>
        </w:rPr>
        <w:t xml:space="preserve">New in v159. Fills the gap between §2.6 (Succession) and §2.8 (Emergency Governance) by consolidating the executive publication obligation that was previously only implied by §9.1. Both executives must publish all official acts — orders, certifications, vetoes, objections, determinations — to the NRS within 48 hours of issuance. Failure is a constitutional compliance breach reportable by the EI and covered in the annual EI audit. No executive may classify, delay, or suppress publication of an act this constitution requires to be published. The 48-hour window is not a validity condition (a late-published act is not void) but a compliance obligation with real accountability consequences.</w:t>
      </w:r>
    </w:p>
    <w:p>
      <w:pPr>
        <w:spacing w:after="60" w:before="200"/>
        <w:ind w:left="863"/>
      </w:pPr>
      <w:r>
        <w:rPr>
          <w:rFonts w:ascii="Courier New" w:cs="Courier New" w:eastAsia="Courier New" w:hAnsi="Courier New"/>
          <w:b/>
          <w:bCs/>
          <w:color w:val="1B2A4A"/>
          <w:sz w:val="18"/>
          <w:szCs w:val="18"/>
        </w:rPr>
        <w:t xml:space="preserve">§2.9.a  </w:t>
      </w:r>
      <w:r>
        <w:rPr>
          <w:rFonts w:ascii="Garamond" w:cs="Garamond" w:eastAsia="Garamond" w:hAnsi="Garamond"/>
          <w:b/>
          <w:bCs/>
          <w:color w:val="1B2A4A"/>
          <w:sz w:val="22"/>
          <w:szCs w:val="22"/>
        </w:rPr>
        <w:t xml:space="preserve">Legislative Amnesty</w:t>
      </w:r>
    </w:p>
    <w:p>
      <w:pPr>
        <w:spacing w:after="120" w:before="0"/>
        <w:ind w:left="863"/>
        <w:jc w:val="both"/>
      </w:pPr>
      <w:r>
        <w:rPr>
          <w:rFonts w:ascii="Garamond" w:cs="Garamond" w:eastAsia="Garamond" w:hAnsi="Garamond"/>
          <w:color w:val="2a2520"/>
          <w:sz w:val="22"/>
          <w:szCs w:val="22"/>
        </w:rPr>
        <w:t xml:space="preserve">Legislative Amnesty — only the Legislature may grant group amnesty, by simple majority of both chambers. No executive may grant group amnesty. Cannot extend to constitutional violations, official misconduct offenses, or crimes against the fundamental rights of §1.2 and §1.3. Subject to judicial review within 60 days of enactment.</w:t>
      </w:r>
    </w:p>
    <w:p>
      <w:pPr>
        <w:spacing w:after="60" w:before="200"/>
        <w:ind w:left="863"/>
      </w:pPr>
      <w:r>
        <w:rPr>
          <w:rFonts w:ascii="Courier New" w:cs="Courier New" w:eastAsia="Courier New" w:hAnsi="Courier New"/>
          <w:b/>
          <w:bCs/>
          <w:color w:val="1B2A4A"/>
          <w:sz w:val="18"/>
          <w:szCs w:val="18"/>
        </w:rPr>
        <w:t xml:space="preserve">§2.9.b  </w:t>
      </w:r>
      <w:r>
        <w:rPr>
          <w:rFonts w:ascii="Garamond" w:cs="Garamond" w:eastAsia="Garamond" w:hAnsi="Garamond"/>
          <w:b/>
          <w:bCs/>
          <w:color w:val="1B2A4A"/>
          <w:sz w:val="22"/>
          <w:szCs w:val="22"/>
        </w:rPr>
        <w:t xml:space="preserve">Self-Clemency Absolute Prohibition</w:t>
      </w:r>
    </w:p>
    <w:p>
      <w:pPr>
        <w:spacing w:after="120" w:before="0"/>
        <w:ind w:left="863"/>
        <w:jc w:val="both"/>
      </w:pPr>
      <w:r>
        <w:rPr>
          <w:rFonts w:ascii="Garamond" w:cs="Garamond" w:eastAsia="Garamond" w:hAnsi="Garamond"/>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863"/>
      </w:pPr>
      <w:r>
        <w:rPr>
          <w:rFonts w:ascii="Courier New" w:cs="Courier New" w:eastAsia="Courier New" w:hAnsi="Courier New"/>
          <w:b/>
          <w:bCs/>
          <w:color w:val="1B2A4A"/>
          <w:sz w:val="18"/>
          <w:szCs w:val="18"/>
        </w:rPr>
        <w:t xml:space="preserve">§2.9.c  </w:t>
      </w:r>
      <w:r>
        <w:rPr>
          <w:rFonts w:ascii="Garamond" w:cs="Garamond" w:eastAsia="Garamond" w:hAnsi="Garamond"/>
          <w:b/>
          <w:bCs/>
          <w:color w:val="1B2A4A"/>
          <w:sz w:val="22"/>
          <w:szCs w:val="22"/>
        </w:rPr>
        <w:t xml:space="preserve">Cross-Chamber Clemency Review</w:t>
      </w:r>
    </w:p>
    <w:p>
      <w:pPr>
        <w:spacing w:after="120" w:before="0"/>
        <w:ind w:left="863"/>
        <w:jc w:val="both"/>
      </w:pPr>
      <w:r>
        <w:rPr>
          <w:rFonts w:ascii="Garamond" w:cs="Garamond" w:eastAsia="Garamond" w:hAnsi="Garamond"/>
          <w:color w:val="2a2520"/>
          <w:sz w:val="22"/>
          <w:szCs w:val="22"/>
        </w:rPr>
        <w:t xml:space="preserve">Cross-chamber clemency prohibition — the President may not grant clemency for offenses committed in the PM's domestic domain, nor may the PM grant clemency for Presidential domain offenses. Prevents either executive from using clemency to protect the other's allies from accountability. Domains of clemency mirror domains of authority.</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XX — Associated Communities</w:t>
      </w:r>
    </w:p>
    <w:p>
      <w:pPr>
        <w:spacing w:after="120"/>
      </w:pPr>
    </w:p>
    <w:p>
      <w:pPr>
        <w:spacing w:after="60" w:before="200"/>
        <w:ind w:left="431"/>
      </w:pPr>
      <w:r>
        <w:rPr>
          <w:rFonts w:ascii="Courier New" w:cs="Courier New" w:eastAsia="Courier New" w:hAnsi="Courier New"/>
          <w:b/>
          <w:bCs/>
          <w:color w:val="1B2A4A"/>
          <w:sz w:val="18"/>
          <w:szCs w:val="18"/>
        </w:rPr>
        <w:t xml:space="preserve">§20.1  </w:t>
      </w:r>
      <w:r>
        <w:rPr>
          <w:rFonts w:ascii="Garamond" w:cs="Garamond" w:eastAsia="Garamond" w:hAnsi="Garamond"/>
          <w:b/>
          <w:bCs/>
          <w:color w:val="1B2A4A"/>
          <w:sz w:val="22"/>
          <w:szCs w:val="22"/>
        </w:rPr>
        <w:t xml:space="preserve">Associated Community Status</w:t>
      </w:r>
    </w:p>
    <w:p>
      <w:pPr>
        <w:spacing w:after="120" w:before="0"/>
        <w:ind w:left="431"/>
        <w:jc w:val="both"/>
      </w:pPr>
      <w:r>
        <w:rPr>
          <w:rFonts w:ascii="Garamond" w:cs="Garamond" w:eastAsia="Garamond" w:hAnsi="Garamond"/>
          <w:color w:val="2a2520"/>
          <w:sz w:val="22"/>
          <w:szCs w:val="22"/>
        </w:rPr>
        <w:t xml:space="preserve">Exclusively for sovereign entities — not a form of State or Territory status, not transitional, not incorporation. Available to nations that have completed the independence process under §15.4-15.5, to independent nations outside the Republic seeking a defined relationship, or to nations recognised as pre-existing sovereigns under Article XIV. A distinct constitutional category reflecting voluntary connection without subsuming sovereignty.</w:t>
      </w:r>
    </w:p>
    <w:p>
      <w:pPr>
        <w:spacing w:after="60" w:before="200"/>
        <w:ind w:left="431"/>
      </w:pPr>
      <w:r>
        <w:rPr>
          <w:rFonts w:ascii="Courier New" w:cs="Courier New" w:eastAsia="Courier New" w:hAnsi="Courier New"/>
          <w:b/>
          <w:bCs/>
          <w:color w:val="1B2A4A"/>
          <w:sz w:val="18"/>
          <w:szCs w:val="18"/>
        </w:rPr>
        <w:t xml:space="preserve">§20.2  </w:t>
      </w:r>
      <w:r>
        <w:rPr>
          <w:rFonts w:ascii="Garamond" w:cs="Garamond" w:eastAsia="Garamond" w:hAnsi="Garamond"/>
          <w:b/>
          <w:bCs/>
          <w:color w:val="1B2A4A"/>
          <w:sz w:val="22"/>
          <w:szCs w:val="22"/>
        </w:rPr>
        <w:t xml:space="preserve">Compact Terms and Equal Sovereignty</w:t>
      </w:r>
    </w:p>
    <w:p>
      <w:pPr>
        <w:spacing w:after="120" w:before="0"/>
        <w:ind w:left="431"/>
        <w:jc w:val="both"/>
      </w:pPr>
      <w:r>
        <w:rPr>
          <w:rFonts w:ascii="Garamond" w:cs="Garamond" w:eastAsia="Garamond" w:hAnsi="Garamond"/>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pPr>
      <w:r>
        <w:rPr>
          <w:rFonts w:ascii="Courier New" w:cs="Courier New" w:eastAsia="Courier New" w:hAnsi="Courier New"/>
          <w:b/>
          <w:bCs/>
          <w:color w:val="1B2A4A"/>
          <w:sz w:val="18"/>
          <w:szCs w:val="18"/>
        </w:rPr>
        <w:t xml:space="preserve">§20.3  </w:t>
      </w:r>
      <w:r>
        <w:rPr>
          <w:rFonts w:ascii="Garamond" w:cs="Garamond" w:eastAsia="Garamond" w:hAnsi="Garamond"/>
          <w:b/>
          <w:bCs/>
          <w:color w:val="1B2A4A"/>
          <w:sz w:val="22"/>
          <w:szCs w:val="22"/>
        </w:rPr>
        <w:t xml:space="preserve">Compact Conditions and Compliance</w:t>
      </w:r>
    </w:p>
    <w:p>
      <w:pPr>
        <w:spacing w:after="120" w:before="0"/>
        <w:ind w:left="431"/>
        <w:jc w:val="both"/>
      </w:pPr>
      <w:r>
        <w:rPr>
          <w:rFonts w:ascii="Garamond" w:cs="Garamond" w:eastAsia="Garamond" w:hAnsi="Garamond"/>
          <w:color w:val="2a2520"/>
          <w:sz w:val="22"/>
          <w:szCs w:val="22"/>
        </w:rPr>
        <w:t xml:space="preserve">No compact may be entered or ratified with any entity whose governance practices include, authorise, or systematically permit torture, slavery, or the denial of habeas corpus to any person within its jurisdiction. The Judicial Inspectorate certifies...</w:t>
      </w:r>
    </w:p>
    <w:p>
      <w:pPr>
        <w:spacing w:after="60" w:before="200"/>
        <w:ind w:left="431"/>
      </w:pPr>
      <w:r>
        <w:rPr>
          <w:rFonts w:ascii="Courier New" w:cs="Courier New" w:eastAsia="Courier New" w:hAnsi="Courier New"/>
          <w:b/>
          <w:bCs/>
          <w:color w:val="1B2A4A"/>
          <w:sz w:val="18"/>
          <w:szCs w:val="18"/>
        </w:rPr>
        <w:t xml:space="preserve">§20.4  </w:t>
      </w:r>
      <w:r>
        <w:rPr>
          <w:rFonts w:ascii="Garamond" w:cs="Garamond" w:eastAsia="Garamond" w:hAnsi="Garamond"/>
          <w:b/>
          <w:bCs/>
          <w:color w:val="1B2A4A"/>
          <w:sz w:val="22"/>
          <w:szCs w:val="22"/>
        </w:rPr>
        <w:t xml:space="preserve">Sovereign Mobility</w:t>
      </w:r>
    </w:p>
    <w:p>
      <w:pPr>
        <w:spacing w:after="120" w:before="0"/>
        <w:ind w:left="431"/>
        <w:jc w:val="both"/>
      </w:pPr>
      <w:r>
        <w:rPr>
          <w:rFonts w:ascii="Garamond" w:cs="Garamond" w:eastAsia="Garamond" w:hAnsi="Garamond"/>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by the Associated...</w:t>
      </w:r>
    </w:p>
    <w:p>
      <w:pPr>
        <w:spacing w:after="60" w:before="200"/>
        <w:ind w:left="431"/>
      </w:pPr>
      <w:r>
        <w:rPr>
          <w:rFonts w:ascii="Courier New" w:cs="Courier New" w:eastAsia="Courier New" w:hAnsi="Courier New"/>
          <w:b/>
          <w:bCs/>
          <w:color w:val="1B2A4A"/>
          <w:sz w:val="18"/>
          <w:szCs w:val="18"/>
        </w:rPr>
        <w:t xml:space="preserve">§20.5  </w:t>
      </w:r>
      <w:r>
        <w:rPr>
          <w:rFonts w:ascii="Garamond" w:cs="Garamond" w:eastAsia="Garamond" w:hAnsi="Garamond"/>
          <w:b/>
          <w:bCs/>
          <w:color w:val="1B2A4A"/>
          <w:sz w:val="22"/>
          <w:szCs w:val="22"/>
        </w:rPr>
        <w:t xml:space="preserve">Reciprocal Obligations and Review</w:t>
      </w:r>
    </w:p>
    <w:p>
      <w:pPr>
        <w:spacing w:after="120" w:before="0"/>
        <w:ind w:left="431"/>
        <w:jc w:val="both"/>
      </w:pPr>
      <w:r>
        <w:rPr>
          <w:rFonts w:ascii="Garamond" w:cs="Garamond" w:eastAsia="Garamond" w:hAnsi="Garamond"/>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III — The Legislature</w:t>
      </w:r>
    </w:p>
    <w:p>
      <w:pPr>
        <w:spacing w:after="120"/>
      </w:pPr>
    </w:p>
    <w:p>
      <w:pPr>
        <w:spacing w:after="60" w:before="200"/>
        <w:ind w:left="863"/>
      </w:pPr>
      <w:r>
        <w:rPr>
          <w:rFonts w:ascii="Courier New" w:cs="Courier New" w:eastAsia="Courier New" w:hAnsi="Courier New"/>
          <w:b/>
          <w:bCs/>
          <w:color w:val="1B2A4A"/>
          <w:sz w:val="18"/>
          <w:szCs w:val="18"/>
        </w:rPr>
        <w:t xml:space="preserve">§3.1.a  </w:t>
      </w:r>
      <w:r>
        <w:rPr>
          <w:rFonts w:ascii="Garamond" w:cs="Garamond" w:eastAsia="Garamond" w:hAnsi="Garamond"/>
          <w:b/>
          <w:bCs/>
          <w:color w:val="1B2A4A"/>
          <w:sz w:val="22"/>
          <w:szCs w:val="22"/>
        </w:rPr>
        <w:t xml:space="preserve">House Membership Floor</w:t>
      </w:r>
    </w:p>
    <w:p>
      <w:pPr>
        <w:spacing w:after="120" w:before="0"/>
        <w:ind w:left="863"/>
        <w:jc w:val="both"/>
      </w:pPr>
      <w:r>
        <w:rPr>
          <w:rFonts w:ascii="Garamond" w:cs="Garamond" w:eastAsia="Garamond" w:hAnsi="Garamond"/>
          <w:color w:val="2a2520"/>
          <w:sz w:val="22"/>
          <w:szCs w:val="22"/>
        </w:rPr>
        <w:t xml:space="preserve">The House is the proportional chamber — seats allocated by population, minimum one per State, floor of one per 750,000 citizens, self-scaling with population. The opening sentence previously read "the Legislature is the Republic's legislature" — circular and uninformative. Now reads "The Republic's legislature is bicameral." The Legislature may set a higher membership; must justify any formula producing fewer than one per 500,000 citizens.</w:t>
      </w:r>
    </w:p>
    <w:p>
      <w:pPr>
        <w:spacing w:after="60" w:before="200"/>
        <w:ind w:left="863"/>
      </w:pPr>
      <w:r>
        <w:rPr>
          <w:rFonts w:ascii="Courier New" w:cs="Courier New" w:eastAsia="Courier New" w:hAnsi="Courier New"/>
          <w:b/>
          <w:bCs/>
          <w:color w:val="1B2A4A"/>
          <w:sz w:val="18"/>
          <w:szCs w:val="18"/>
        </w:rPr>
        <w:t xml:space="preserve">§3.1.b  </w:t>
      </w:r>
      <w:r>
        <w:rPr>
          <w:rFonts w:ascii="Garamond" w:cs="Garamond" w:eastAsia="Garamond" w:hAnsi="Garamond"/>
          <w:b/>
          <w:bCs/>
          <w:color w:val="1B2A4A"/>
          <w:sz w:val="22"/>
          <w:szCs w:val="22"/>
        </w:rPr>
        <w:t xml:space="preserve">Census Authority</w:t>
      </w:r>
    </w:p>
    <w:p>
      <w:pPr>
        <w:spacing w:after="120" w:before="0"/>
        <w:ind w:left="863"/>
        <w:jc w:val="both"/>
      </w:pPr>
      <w:r>
        <w:rPr>
          <w:rFonts w:ascii="Garamond" w:cs="Garamond" w:eastAsia="Garamond" w:hAnsi="Garamond"/>
          <w:color w:val="2a2520"/>
          <w:sz w:val="22"/>
          <w:szCs w:val="22"/>
        </w:rPr>
        <w:t xml:space="preserve">The population census is conducted by the Legislative Inspectorate. The provision previously contained a lengthy inline explanation of why the LI (not the EI) conducts the census — accurate but belonging in commentary. Operative rule only: LI conducts the census.</w:t>
      </w:r>
    </w:p>
    <w:p>
      <w:pPr>
        <w:spacing w:after="60" w:before="200"/>
        <w:ind w:left="863"/>
      </w:pPr>
      <w:r>
        <w:rPr>
          <w:rFonts w:ascii="Courier New" w:cs="Courier New" w:eastAsia="Courier New" w:hAnsi="Courier New"/>
          <w:b/>
          <w:bCs/>
          <w:color w:val="1B2A4A"/>
          <w:sz w:val="18"/>
          <w:szCs w:val="18"/>
        </w:rPr>
        <w:t xml:space="preserve">§3.1.c  </w:t>
      </w:r>
      <w:r>
        <w:rPr>
          <w:rFonts w:ascii="Garamond" w:cs="Garamond" w:eastAsia="Garamond" w:hAnsi="Garamond"/>
          <w:b/>
          <w:bCs/>
          <w:color w:val="1B2A4A"/>
          <w:sz w:val="22"/>
          <w:szCs w:val="22"/>
        </w:rPr>
        <w:t xml:space="preserve">Single-Subject Rule</w:t>
      </w:r>
    </w:p>
    <w:p>
      <w:pPr>
        <w:spacing w:after="120" w:before="0"/>
        <w:ind w:left="863"/>
        <w:jc w:val="both"/>
      </w:pPr>
      <w:r>
        <w:rPr>
          <w:rFonts w:ascii="Garamond" w:cs="Garamond" w:eastAsia="Garamond" w:hAnsi="Garamond"/>
          <w:color w:val="2a2520"/>
          <w:sz w:val="22"/>
          <w:szCs w:val="22"/>
        </w:rPr>
        <w:t xml:space="preserve">Single-Subject Rule — 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863"/>
      </w:pPr>
      <w:r>
        <w:rPr>
          <w:rFonts w:ascii="Courier New" w:cs="Courier New" w:eastAsia="Courier New" w:hAnsi="Courier New"/>
          <w:b/>
          <w:bCs/>
          <w:color w:val="1B2A4A"/>
          <w:sz w:val="18"/>
          <w:szCs w:val="18"/>
        </w:rPr>
        <w:t xml:space="preserve">§3.1.d  </w:t>
      </w:r>
      <w:r>
        <w:rPr>
          <w:rFonts w:ascii="Garamond" w:cs="Garamond" w:eastAsia="Garamond" w:hAnsi="Garamond"/>
          <w:b/>
          <w:bCs/>
          <w:color w:val="1B2A4A"/>
          <w:sz w:val="22"/>
          <w:szCs w:val="22"/>
        </w:rPr>
        <w:t xml:space="preserve">Bill Exposure</w:t>
      </w:r>
    </w:p>
    <w:p>
      <w:pPr>
        <w:spacing w:after="120" w:before="0"/>
        <w:ind w:left="863"/>
        <w:jc w:val="both"/>
      </w:pPr>
      <w:r>
        <w:rPr>
          <w:rFonts w:ascii="Garamond" w:cs="Garamond" w:eastAsia="Garamond" w:hAnsi="Garamond"/>
          <w:color w:val="2a2520"/>
          <w:sz w:val="22"/>
          <w:szCs w:val="22"/>
        </w:rPr>
        <w:t xml:space="preserve">Bill Exposure Period — 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863"/>
      </w:pPr>
      <w:r>
        <w:rPr>
          <w:rFonts w:ascii="Courier New" w:cs="Courier New" w:eastAsia="Courier New" w:hAnsi="Courier New"/>
          <w:b/>
          <w:bCs/>
          <w:color w:val="1B2A4A"/>
          <w:sz w:val="18"/>
          <w:szCs w:val="18"/>
        </w:rPr>
        <w:t xml:space="preserve">§3.1.e  </w:t>
      </w:r>
      <w:r>
        <w:rPr>
          <w:rFonts w:ascii="Garamond" w:cs="Garamond" w:eastAsia="Garamond" w:hAnsi="Garamond"/>
          <w:b/>
          <w:bCs/>
          <w:color w:val="1B2A4A"/>
          <w:sz w:val="22"/>
          <w:szCs w:val="22"/>
        </w:rPr>
        <w:t xml:space="preserve">Caretaker Activation and PM Formation</w:t>
      </w:r>
    </w:p>
    <w:p>
      <w:pPr>
        <w:spacing w:after="120" w:before="0"/>
        <w:ind w:left="863"/>
        <w:jc w:val="both"/>
      </w:pPr>
      <w:r>
        <w:rPr>
          <w:rFonts w:ascii="Garamond" w:cs="Garamond" w:eastAsia="Garamond" w:hAnsi="Garamond"/>
          <w:color w:val="2a2520"/>
          <w:sz w:val="22"/>
          <w:szCs w:val="22"/>
        </w:rPr>
        <w:t xml:space="preserve">Legislative Calendar and Session — 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863"/>
      </w:pPr>
      <w:r>
        <w:rPr>
          <w:rFonts w:ascii="Courier New" w:cs="Courier New" w:eastAsia="Courier New" w:hAnsi="Courier New"/>
          <w:b/>
          <w:bCs/>
          <w:color w:val="1B2A4A"/>
          <w:sz w:val="18"/>
          <w:szCs w:val="18"/>
        </w:rPr>
        <w:t xml:space="preserve">§3.1.f  </w:t>
      </w:r>
      <w:r>
        <w:rPr>
          <w:rFonts w:ascii="Garamond" w:cs="Garamond" w:eastAsia="Garamond" w:hAnsi="Garamond"/>
          <w:b/>
          <w:bCs/>
          <w:color w:val="1B2A4A"/>
          <w:sz w:val="22"/>
          <w:szCs w:val="22"/>
        </w:rPr>
        <w:t xml:space="preserve">House Term Limits</w:t>
      </w:r>
    </w:p>
    <w:p>
      <w:pPr>
        <w:spacing w:after="120" w:before="0"/>
        <w:ind w:left="863"/>
        <w:jc w:val="both"/>
      </w:pPr>
      <w:r>
        <w:rPr>
          <w:rFonts w:ascii="Garamond" w:cs="Garamond" w:eastAsia="Garamond" w:hAnsi="Garamond"/>
          <w:color w:val="2a2520"/>
          <w:sz w:val="22"/>
          <w:szCs w:val="22"/>
        </w:rPr>
        <w:t xml:space="preserve">Compensation and Disclosure — 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431"/>
      </w:pPr>
      <w:r>
        <w:rPr>
          <w:rFonts w:ascii="Courier New" w:cs="Courier New" w:eastAsia="Courier New" w:hAnsi="Courier New"/>
          <w:b/>
          <w:bCs/>
          <w:color w:val="1B2A4A"/>
          <w:sz w:val="18"/>
          <w:szCs w:val="18"/>
        </w:rPr>
        <w:t xml:space="preserve">§3.2  </w:t>
      </w:r>
      <w:r>
        <w:rPr>
          <w:rFonts w:ascii="Garamond" w:cs="Garamond" w:eastAsia="Garamond" w:hAnsi="Garamond"/>
          <w:b/>
          <w:bCs/>
          <w:color w:val="1B2A4A"/>
          <w:sz w:val="22"/>
          <w:szCs w:val="22"/>
        </w:rPr>
        <w:t xml:space="preserve">The Senate — States as Constitutional Actors</w:t>
      </w:r>
    </w:p>
    <w:p>
      <w:pPr>
        <w:spacing w:after="120" w:before="0"/>
        <w:ind w:left="431"/>
        <w:jc w:val="both"/>
      </w:pPr>
      <w:r>
        <w:rPr>
          <w:rFonts w:ascii="Garamond" w:cs="Garamond" w:eastAsia="Garamond" w:hAnsi="Garamond"/>
          <w:color w:val="2a2520"/>
          <w:sz w:val="22"/>
          <w:szCs w:val="22"/>
        </w:rPr>
        <w:t xml:space="preserve">The Senate — 2 senators per State, 6-year staggered terms. Primary role: checking chamber. Must act on every House-passed bill (§3.2.c). Cannot originate fiscal legislation (§3.2.b). Amendment authority bounded by germaneness (§3.2.i). Confirmations, ratifications, and treaty approvals represent its second major constitutional function.</w:t>
      </w:r>
    </w:p>
    <w:p>
      <w:pPr>
        <w:spacing w:after="60" w:before="200"/>
        <w:ind w:left="863"/>
      </w:pPr>
      <w:r>
        <w:rPr>
          <w:rFonts w:ascii="Courier New" w:cs="Courier New" w:eastAsia="Courier New" w:hAnsi="Courier New"/>
          <w:b/>
          <w:bCs/>
          <w:color w:val="1B2A4A"/>
          <w:sz w:val="18"/>
          <w:szCs w:val="18"/>
        </w:rPr>
        <w:t xml:space="preserve">§3.2.a  </w:t>
      </w:r>
      <w:r>
        <w:rPr>
          <w:rFonts w:ascii="Garamond" w:cs="Garamond" w:eastAsia="Garamond" w:hAnsi="Garamond"/>
          <w:b/>
          <w:bCs/>
          <w:color w:val="1B2A4A"/>
          <w:sz w:val="22"/>
          <w:szCs w:val="22"/>
        </w:rPr>
        <w:t xml:space="preserve">Senator Terms and Limits</w:t>
      </w:r>
    </w:p>
    <w:p>
      <w:pPr>
        <w:spacing w:after="120" w:before="0"/>
        <w:ind w:left="863"/>
        <w:jc w:val="both"/>
      </w:pPr>
      <w:r>
        <w:rPr>
          <w:rFonts w:ascii="Garamond" w:cs="Garamond" w:eastAsia="Garamond" w:hAnsi="Garamond"/>
          <w:color w:val="2a2520"/>
          <w:sz w:val="22"/>
          <w:szCs w:val="22"/>
        </w:rPr>
        <w:t xml:space="preserve">Senate composition — two senators per State regardless of population, elected by citizens of that State for 6-year non-renewable staggered terms. Staggering ensures no single election cycle can sweep the entire Senate. The 6-year term creates institutional continuity — senators serve 50% longer than the standard House cycle.</w:t>
      </w:r>
    </w:p>
    <w:p>
      <w:pPr>
        <w:spacing w:after="60" w:before="200"/>
        <w:ind w:left="863"/>
      </w:pPr>
      <w:r>
        <w:rPr>
          <w:rFonts w:ascii="Courier New" w:cs="Courier New" w:eastAsia="Courier New" w:hAnsi="Courier New"/>
          <w:b/>
          <w:bCs/>
          <w:color w:val="1B2A4A"/>
          <w:sz w:val="18"/>
          <w:szCs w:val="18"/>
        </w:rPr>
        <w:t xml:space="preserve">§3.2.b  </w:t>
      </w:r>
      <w:r>
        <w:rPr>
          <w:rFonts w:ascii="Garamond" w:cs="Garamond" w:eastAsia="Garamond" w:hAnsi="Garamond"/>
          <w:b/>
          <w:bCs/>
          <w:color w:val="1B2A4A"/>
          <w:sz w:val="22"/>
          <w:szCs w:val="22"/>
        </w:rPr>
        <w:t xml:space="preserve">Senate Speaker Role Limit</w:t>
      </w:r>
    </w:p>
    <w:p>
      <w:pPr>
        <w:spacing w:after="120" w:before="0"/>
        <w:ind w:left="863"/>
        <w:jc w:val="both"/>
      </w:pPr>
      <w:r>
        <w:rPr>
          <w:rFonts w:ascii="Garamond" w:cs="Garamond" w:eastAsia="Garamond" w:hAnsi="Garamond"/>
          <w:color w:val="2a2520"/>
          <w:sz w:val="22"/>
          <w:szCs w:val="22"/>
        </w:rPr>
        <w:t xml:space="preserve">Fiscal origination — all revenue measures, appropriations, and debt ceiling changes must originate in the House. The Senate may amend fiscal legislation but cannot initiate it. Keeps fiscal accountability with the proportionally elected chamber.</w:t>
      </w:r>
    </w:p>
    <w:p>
      <w:pPr>
        <w:spacing w:after="60" w:before="200"/>
        <w:ind w:left="863"/>
      </w:pPr>
      <w:r>
        <w:rPr>
          <w:rFonts w:ascii="Courier New" w:cs="Courier New" w:eastAsia="Courier New" w:hAnsi="Courier New"/>
          <w:b/>
          <w:bCs/>
          <w:color w:val="1B2A4A"/>
          <w:sz w:val="18"/>
          <w:szCs w:val="18"/>
        </w:rPr>
        <w:t xml:space="preserve">§3.2.c  </w:t>
      </w:r>
      <w:r>
        <w:rPr>
          <w:rFonts w:ascii="Garamond" w:cs="Garamond" w:eastAsia="Garamond" w:hAnsi="Garamond"/>
          <w:b/>
          <w:bCs/>
          <w:color w:val="1B2A4A"/>
          <w:sz w:val="22"/>
          <w:szCs w:val="22"/>
        </w:rPr>
        <w:t xml:space="preserve">Senate Must Act on Every House Bill</w:t>
      </w:r>
    </w:p>
    <w:p>
      <w:pPr>
        <w:spacing w:after="120" w:before="0"/>
        <w:ind w:left="863"/>
        <w:jc w:val="both"/>
      </w:pPr>
      <w:r>
        <w:rPr>
          <w:rFonts w:ascii="Garamond" w:cs="Garamond" w:eastAsia="Garamond" w:hAnsi="Garamond"/>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863"/>
      </w:pPr>
      <w:r>
        <w:rPr>
          <w:rFonts w:ascii="Courier New" w:cs="Courier New" w:eastAsia="Courier New" w:hAnsi="Courier New"/>
          <w:b/>
          <w:bCs/>
          <w:color w:val="1B2A4A"/>
          <w:sz w:val="18"/>
          <w:szCs w:val="18"/>
        </w:rPr>
        <w:t xml:space="preserve">§3.2.d  </w:t>
      </w:r>
      <w:r>
        <w:rPr>
          <w:rFonts w:ascii="Garamond" w:cs="Garamond" w:eastAsia="Garamond" w:hAnsi="Garamond"/>
          <w:b/>
          <w:bCs/>
          <w:color w:val="1B2A4A"/>
          <w:sz w:val="22"/>
          <w:szCs w:val="22"/>
        </w:rPr>
        <w:t xml:space="preserve">Judicial Confirmation</w:t>
      </w:r>
    </w:p>
    <w:p>
      <w:pPr>
        <w:spacing w:after="120" w:before="0"/>
        <w:ind w:left="863"/>
        <w:jc w:val="both"/>
      </w:pPr>
      <w:r>
        <w:rPr>
          <w:rFonts w:ascii="Garamond" w:cs="Garamond" w:eastAsia="Garamond" w:hAnsi="Garamond"/>
          <w:color w:val="2a2520"/>
          <w:sz w:val="22"/>
          <w:szCs w:val="22"/>
        </w:rPr>
        <w:t xml:space="preserve">Judicial Confirmation — the Senate confirms all judicial appointments by a supermajority defined by statute (not less than 55%, not more than 67% of full Senate membership). Failure to vote within the confirmation period triggers Deemed Confirmation. The supermajority requirement ensures judicial appointments require cross-party support.</w:t>
      </w:r>
    </w:p>
    <w:p>
      <w:pPr>
        <w:spacing w:after="60" w:before="200"/>
        <w:ind w:left="863"/>
      </w:pPr>
      <w:r>
        <w:rPr>
          <w:rFonts w:ascii="Courier New" w:cs="Courier New" w:eastAsia="Courier New" w:hAnsi="Courier New"/>
          <w:b/>
          <w:bCs/>
          <w:color w:val="1B2A4A"/>
          <w:sz w:val="18"/>
          <w:szCs w:val="18"/>
        </w:rPr>
        <w:t xml:space="preserve">§3.2.e  </w:t>
      </w:r>
      <w:r>
        <w:rPr>
          <w:rFonts w:ascii="Garamond" w:cs="Garamond" w:eastAsia="Garamond" w:hAnsi="Garamond"/>
          <w:b/>
          <w:bCs/>
          <w:color w:val="1B2A4A"/>
          <w:sz w:val="22"/>
          <w:szCs w:val="22"/>
        </w:rPr>
        <w:t xml:space="preserve">Treaty Ratification</w:t>
      </w:r>
    </w:p>
    <w:p>
      <w:pPr>
        <w:spacing w:after="120" w:before="0"/>
        <w:ind w:left="863"/>
        <w:jc w:val="both"/>
      </w:pPr>
      <w:r>
        <w:rPr>
          <w:rFonts w:ascii="Garamond" w:cs="Garamond" w:eastAsia="Garamond" w:hAnsi="Garamond"/>
          <w:color w:val="2a2520"/>
          <w:sz w:val="22"/>
          <w:szCs w:val="22"/>
        </w:rPr>
        <w:t xml:space="preserve">Treaty Ratification — treaties require 2/3 Senate majority. Two sub-provisions address failed ratification: §3.2.e.i (standalone domestic provisions may proceed as ordinary legislation) and §3.2.e.ii (bilateral treaties designed as integrated wholes must be renegotiated, not disaggregated). The Nordmere Cases established the factual test for which sub-provision applies.</w:t>
      </w:r>
    </w:p>
    <w:p>
      <w:pPr>
        <w:spacing w:after="60" w:before="200"/>
        <w:ind w:left="1296"/>
      </w:pPr>
      <w:r>
        <w:rPr>
          <w:rFonts w:ascii="Courier New" w:cs="Courier New" w:eastAsia="Courier New" w:hAnsi="Courier New"/>
          <w:b/>
          <w:bCs/>
          <w:color w:val="1B2A4A"/>
          <w:sz w:val="18"/>
          <w:szCs w:val="18"/>
        </w:rPr>
        <w:t xml:space="preserve">§3.2.e.i  </w:t>
      </w:r>
      <w:r>
        <w:rPr>
          <w:rFonts w:ascii="Garamond" w:cs="Garamond" w:eastAsia="Garamond" w:hAnsi="Garamond"/>
          <w:b/>
          <w:bCs/>
          <w:color w:val="1B2A4A"/>
          <w:sz w:val="22"/>
          <w:szCs w:val="22"/>
        </w:rPr>
        <w:t xml:space="preserve">Treaty Domestic Application</w:t>
      </w:r>
    </w:p>
    <w:p>
      <w:pPr>
        <w:spacing w:after="120" w:before="0"/>
        <w:ind w:left="1296"/>
        <w:jc w:val="both"/>
      </w:pPr>
      <w:r>
        <w:rPr>
          <w:rFonts w:ascii="Garamond" w:cs="Garamond" w:eastAsia="Garamond" w:hAnsi="Garamond"/>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1296"/>
      </w:pPr>
      <w:r>
        <w:rPr>
          <w:rFonts w:ascii="Courier New" w:cs="Courier New" w:eastAsia="Courier New" w:hAnsi="Courier New"/>
          <w:b/>
          <w:bCs/>
          <w:color w:val="1B2A4A"/>
          <w:sz w:val="18"/>
          <w:szCs w:val="18"/>
        </w:rPr>
        <w:t xml:space="preserve">§3.2.e.ii  </w:t>
      </w:r>
      <w:r>
        <w:rPr>
          <w:rFonts w:ascii="Garamond" w:cs="Garamond" w:eastAsia="Garamond" w:hAnsi="Garamond"/>
          <w:b/>
          <w:bCs/>
          <w:color w:val="1B2A4A"/>
          <w:sz w:val="22"/>
          <w:szCs w:val="22"/>
        </w:rPr>
        <w:t xml:space="preserve">Treaty Withdrawal</w:t>
      </w:r>
    </w:p>
    <w:p>
      <w:pPr>
        <w:spacing w:after="120" w:before="0"/>
        <w:ind w:left="1296"/>
        <w:jc w:val="both"/>
      </w:pPr>
      <w:r>
        <w:rPr>
          <w:rFonts w:ascii="Garamond" w:cs="Garamond" w:eastAsia="Garamond" w:hAnsi="Garamond"/>
          <w:color w:val="2a2520"/>
          <w:sz w:val="22"/>
          <w:szCs w:val="22"/>
        </w:rPr>
        <w:t xml:space="preserve">Where the treaty is bilateral and designed as an integrated whole — reciprocal obligations that only make sense together — the President may not disaggregate and transmit domestic provisions. The treaty must be renegotiated or abandoned. The Nordmere Cases: Case 2 applied this provision where bilateral design made domestic provisions interdependent.</w:t>
      </w:r>
    </w:p>
    <w:p>
      <w:pPr>
        <w:spacing w:after="60" w:before="200"/>
        <w:ind w:left="863"/>
      </w:pPr>
      <w:r>
        <w:rPr>
          <w:rFonts w:ascii="Courier New" w:cs="Courier New" w:eastAsia="Courier New" w:hAnsi="Courier New"/>
          <w:b/>
          <w:bCs/>
          <w:color w:val="1B2A4A"/>
          <w:sz w:val="18"/>
          <w:szCs w:val="18"/>
        </w:rPr>
        <w:t xml:space="preserve">§3.2.f  </w:t>
      </w:r>
      <w:r>
        <w:rPr>
          <w:rFonts w:ascii="Garamond" w:cs="Garamond" w:eastAsia="Garamond" w:hAnsi="Garamond"/>
          <w:b/>
          <w:bCs/>
          <w:color w:val="1B2A4A"/>
          <w:sz w:val="22"/>
          <w:szCs w:val="22"/>
        </w:rPr>
        <w:t xml:space="preserve">Impeachment Trials</w:t>
      </w:r>
    </w:p>
    <w:p>
      <w:pPr>
        <w:spacing w:after="120" w:before="0"/>
        <w:ind w:left="863"/>
        <w:jc w:val="both"/>
      </w:pPr>
      <w:r>
        <w:rPr>
          <w:rFonts w:ascii="Garamond" w:cs="Garamond" w:eastAsia="Garamond" w:hAnsi="Garamond"/>
          <w:color w:val="2a2520"/>
          <w:sz w:val="22"/>
          <w:szCs w:val="22"/>
        </w:rPr>
        <w:t xml:space="preserve">Senate Electoral Functions — the Senate administers the Presidential election in the absence of a functioning Electoral Commission, presides over contested electoral proceedings, and certifies Presidential election results. A direct role in executive accountability that does not depend on the House.</w:t>
      </w:r>
    </w:p>
    <w:p>
      <w:pPr>
        <w:spacing w:after="60" w:before="200"/>
        <w:ind w:left="863"/>
      </w:pPr>
      <w:r>
        <w:rPr>
          <w:rFonts w:ascii="Courier New" w:cs="Courier New" w:eastAsia="Courier New" w:hAnsi="Courier New"/>
          <w:b/>
          <w:bCs/>
          <w:color w:val="1B2A4A"/>
          <w:sz w:val="18"/>
          <w:szCs w:val="18"/>
        </w:rPr>
        <w:t xml:space="preserve">§3.2.g  </w:t>
      </w:r>
      <w:r>
        <w:rPr>
          <w:rFonts w:ascii="Garamond" w:cs="Garamond" w:eastAsia="Garamond" w:hAnsi="Garamond"/>
          <w:b/>
          <w:bCs/>
          <w:color w:val="1B2A4A"/>
          <w:sz w:val="22"/>
          <w:szCs w:val="22"/>
        </w:rPr>
        <w:t xml:space="preserve">Survivor Quorum — Catastrophic Casualty Events</w:t>
      </w:r>
    </w:p>
    <w:p>
      <w:pPr>
        <w:spacing w:after="120" w:before="0"/>
        <w:ind w:left="863"/>
        <w:jc w:val="both"/>
      </w:pPr>
      <w:r>
        <w:rPr>
          <w:rFonts w:ascii="Garamond" w:cs="Garamond" w:eastAsia="Garamond" w:hAnsi="Garamond"/>
          <w:color w:val="2a2520"/>
          <w:sz w:val="22"/>
          <w:szCs w:val="22"/>
        </w:rPr>
        <w:t xml:space="preserve">Senate Internal Rules — 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863"/>
      </w:pPr>
      <w:r>
        <w:rPr>
          <w:rFonts w:ascii="Courier New" w:cs="Courier New" w:eastAsia="Courier New" w:hAnsi="Courier New"/>
          <w:b/>
          <w:bCs/>
          <w:color w:val="1B2A4A"/>
          <w:sz w:val="18"/>
          <w:szCs w:val="18"/>
        </w:rPr>
        <w:t xml:space="preserve">§3.2.h  </w:t>
      </w:r>
      <w:r>
        <w:rPr>
          <w:rFonts w:ascii="Garamond" w:cs="Garamond" w:eastAsia="Garamond" w:hAnsi="Garamond"/>
          <w:b/>
          <w:bCs/>
          <w:color w:val="1B2A4A"/>
          <w:sz w:val="22"/>
          <w:szCs w:val="22"/>
        </w:rPr>
        <w:t xml:space="preserve">Senate Speaker Vacancy</w:t>
      </w:r>
    </w:p>
    <w:p>
      <w:pPr>
        <w:spacing w:after="120" w:before="0"/>
        <w:ind w:left="863"/>
        <w:jc w:val="both"/>
      </w:pPr>
      <w:r>
        <w:rPr>
          <w:rFonts w:ascii="Garamond" w:cs="Garamond" w:eastAsia="Garamond" w:hAnsi="Garamond"/>
          <w:color w:val="2a2520"/>
          <w:sz w:val="22"/>
          <w:szCs w:val="22"/>
        </w:rPr>
        <w:t xml:space="preserve">Senate Committees — 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863"/>
      </w:pPr>
      <w:r>
        <w:rPr>
          <w:rFonts w:ascii="Courier New" w:cs="Courier New" w:eastAsia="Courier New" w:hAnsi="Courier New"/>
          <w:b/>
          <w:bCs/>
          <w:color w:val="1B2A4A"/>
          <w:sz w:val="18"/>
          <w:szCs w:val="18"/>
        </w:rPr>
        <w:t xml:space="preserve">§3.2.i  </w:t>
      </w:r>
      <w:r>
        <w:rPr>
          <w:rFonts w:ascii="Garamond" w:cs="Garamond" w:eastAsia="Garamond" w:hAnsi="Garamond"/>
          <w:b/>
          <w:bCs/>
          <w:color w:val="1B2A4A"/>
          <w:sz w:val="22"/>
          <w:szCs w:val="22"/>
        </w:rPr>
        <w:t xml:space="preserve">Senate Amendment Authority</w:t>
      </w:r>
    </w:p>
    <w:p>
      <w:pPr>
        <w:spacing w:after="120" w:before="0"/>
        <w:ind w:left="863"/>
        <w:jc w:val="both"/>
      </w:pPr>
      <w:r>
        <w:rPr>
          <w:rFonts w:ascii="Garamond" w:cs="Garamond" w:eastAsia="Garamond" w:hAnsi="Garamond"/>
          <w:color w:val="2a2520"/>
          <w:sz w:val="22"/>
          <w:szCs w:val="22"/>
        </w:rPr>
        <w:t xml:space="preserve">Senate Amendment Authority — 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 The Rider scenario tested this — the LI found an agricultural export credit non-germane to an infrastructure bill.</w:t>
      </w:r>
    </w:p>
    <w:p>
      <w:pPr>
        <w:spacing w:after="60" w:before="200"/>
        <w:ind w:left="863"/>
      </w:pPr>
      <w:r>
        <w:rPr>
          <w:rFonts w:ascii="Courier New" w:cs="Courier New" w:eastAsia="Courier New" w:hAnsi="Courier New"/>
          <w:b/>
          <w:bCs/>
          <w:color w:val="1B2A4A"/>
          <w:sz w:val="18"/>
          <w:szCs w:val="18"/>
        </w:rPr>
        <w:t xml:space="preserve">§3.3.a  </w:t>
      </w:r>
      <w:r>
        <w:rPr>
          <w:rFonts w:ascii="Garamond" w:cs="Garamond" w:eastAsia="Garamond" w:hAnsi="Garamond"/>
          <w:b/>
          <w:bCs/>
          <w:color w:val="1B2A4A"/>
          <w:sz w:val="22"/>
          <w:szCs w:val="22"/>
        </w:rPr>
        <w:t xml:space="preserve">Standard Passage</w:t>
      </w:r>
    </w:p>
    <w:p>
      <w:pPr>
        <w:spacing w:after="120" w:before="0"/>
        <w:ind w:left="863"/>
        <w:jc w:val="both"/>
      </w:pPr>
      <w:r>
        <w:rPr>
          <w:rFonts w:ascii="Garamond" w:cs="Garamond" w:eastAsia="Garamond" w:hAnsi="Garamond"/>
          <w:color w:val="2a2520"/>
          <w:sz w:val="22"/>
          <w:szCs w:val="22"/>
        </w:rPr>
        <w:t xml:space="preserve">Standard Passage — 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863"/>
      </w:pPr>
      <w:r>
        <w:rPr>
          <w:rFonts w:ascii="Courier New" w:cs="Courier New" w:eastAsia="Courier New" w:hAnsi="Courier New"/>
          <w:b/>
          <w:bCs/>
          <w:color w:val="1B2A4A"/>
          <w:sz w:val="18"/>
          <w:szCs w:val="18"/>
        </w:rPr>
        <w:t xml:space="preserve">§3.3.b  </w:t>
      </w:r>
      <w:r>
        <w:rPr>
          <w:rFonts w:ascii="Garamond" w:cs="Garamond" w:eastAsia="Garamond" w:hAnsi="Garamond"/>
          <w:b/>
          <w:bCs/>
          <w:color w:val="1B2A4A"/>
          <w:sz w:val="22"/>
          <w:szCs w:val="22"/>
        </w:rPr>
        <w:t xml:space="preserve">Presidential Veto Override</w:t>
      </w:r>
    </w:p>
    <w:p>
      <w:pPr>
        <w:spacing w:after="120" w:before="0"/>
        <w:ind w:left="863"/>
        <w:jc w:val="both"/>
      </w:pPr>
      <w:r>
        <w:rPr>
          <w:rFonts w:ascii="Garamond" w:cs="Garamond" w:eastAsia="Garamond" w:hAnsi="Garamond"/>
          <w:color w:val="2a2520"/>
          <w:sz w:val="22"/>
          <w:szCs w:val="22"/>
        </w:rPr>
        <w:t xml:space="preserve">Presidential Veto Override — requires 2/3 of both chambers simultaneously. The simultaneous requirement means both chambers must vote in the same session. The SC's 48-hour review under §2.1.f.i occurs before any override vote, meaning the constitutional question is settled before the political question of the override.</w:t>
      </w:r>
    </w:p>
    <w:p>
      <w:pPr>
        <w:spacing w:after="60" w:before="200"/>
        <w:ind w:left="863"/>
      </w:pPr>
      <w:r>
        <w:rPr>
          <w:rFonts w:ascii="Courier New" w:cs="Courier New" w:eastAsia="Courier New" w:hAnsi="Courier New"/>
          <w:b/>
          <w:bCs/>
          <w:color w:val="1B2A4A"/>
          <w:sz w:val="18"/>
          <w:szCs w:val="18"/>
        </w:rPr>
        <w:t xml:space="preserve">§3.3.c  </w:t>
      </w:r>
      <w:r>
        <w:rPr>
          <w:rFonts w:ascii="Garamond" w:cs="Garamond" w:eastAsia="Garamond" w:hAnsi="Garamond"/>
          <w:b/>
          <w:bCs/>
          <w:color w:val="1B2A4A"/>
          <w:sz w:val="22"/>
          <w:szCs w:val="22"/>
        </w:rPr>
        <w:t xml:space="preserve">Record System Entry</w:t>
      </w:r>
    </w:p>
    <w:p>
      <w:pPr>
        <w:spacing w:after="120" w:before="0"/>
        <w:ind w:left="863"/>
        <w:jc w:val="both"/>
      </w:pPr>
      <w:r>
        <w:rPr>
          <w:rFonts w:ascii="Garamond" w:cs="Garamond" w:eastAsia="Garamond" w:hAnsi="Garamond"/>
          <w:color w:val="2a2520"/>
          <w:sz w:val="22"/>
          <w:szCs w:val="22"/>
        </w:rPr>
        <w:t xml:space="preserve">Record System Entry — 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863"/>
      </w:pPr>
      <w:r>
        <w:rPr>
          <w:rFonts w:ascii="Courier New" w:cs="Courier New" w:eastAsia="Courier New" w:hAnsi="Courier New"/>
          <w:b/>
          <w:bCs/>
          <w:color w:val="1B2A4A"/>
          <w:sz w:val="18"/>
          <w:szCs w:val="18"/>
        </w:rPr>
        <w:t xml:space="preserve">§3.3.d  </w:t>
      </w:r>
      <w:r>
        <w:rPr>
          <w:rFonts w:ascii="Garamond" w:cs="Garamond" w:eastAsia="Garamond" w:hAnsi="Garamond"/>
          <w:b/>
          <w:bCs/>
          <w:color w:val="1B2A4A"/>
          <w:sz w:val="22"/>
          <w:szCs w:val="22"/>
        </w:rPr>
        <w:t xml:space="preserve">Legislative Mandate Enforcement</w:t>
      </w:r>
    </w:p>
    <w:p>
      <w:pPr>
        <w:spacing w:after="120" w:before="0"/>
        <w:ind w:left="863"/>
        <w:jc w:val="both"/>
      </w:pPr>
      <w:r>
        <w:rPr>
          <w:rFonts w:ascii="Garamond" w:cs="Garamond" w:eastAsia="Garamond" w:hAnsi="Garamond"/>
          <w:color w:val="2a2520"/>
          <w:sz w:val="22"/>
          <w:szCs w:val="22"/>
        </w:rPr>
        <w:t xml:space="preserve">Legislative Mandate Enforcement — 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pPr>
      <w:r>
        <w:rPr>
          <w:rFonts w:ascii="Courier New" w:cs="Courier New" w:eastAsia="Courier New" w:hAnsi="Courier New"/>
          <w:b/>
          <w:bCs/>
          <w:color w:val="1B2A4A"/>
          <w:sz w:val="18"/>
          <w:szCs w:val="18"/>
        </w:rPr>
        <w:t xml:space="preserve">§3.4  </w:t>
      </w:r>
      <w:r>
        <w:rPr>
          <w:rFonts w:ascii="Garamond" w:cs="Garamond" w:eastAsia="Garamond" w:hAnsi="Garamond"/>
          <w:b/>
          <w:bCs/>
          <w:color w:val="1B2A4A"/>
          <w:sz w:val="22"/>
          <w:szCs w:val="22"/>
        </w:rPr>
        <w:t xml:space="preserve">Electoral Districts</w:t>
      </w:r>
    </w:p>
    <w:p>
      <w:pPr>
        <w:spacing w:after="120" w:before="0"/>
        <w:ind w:left="431"/>
        <w:jc w:val="both"/>
      </w:pPr>
      <w:r>
        <w:rPr>
          <w:rFonts w:ascii="Garamond" w:cs="Garamond" w:eastAsia="Garamond" w:hAnsi="Garamond"/>
          <w:color w:val="2a2520"/>
          <w:sz w:val="22"/>
          <w:szCs w:val="22"/>
        </w:rPr>
        <w:t xml:space="preserve">House Redistricting — the LI conducts the census, the Legislature sets the apportionment formula, States draw their own district maps, and the LI reviews maps for compliance. The LI's review checks for partisan gerrymandering, population equality violations, and compliance with the minority protection criteria.</w:t>
      </w:r>
    </w:p>
    <w:p>
      <w:pPr>
        <w:spacing w:after="60" w:before="200"/>
        <w:ind w:left="863"/>
      </w:pPr>
      <w:r>
        <w:rPr>
          <w:rFonts w:ascii="Courier New" w:cs="Courier New" w:eastAsia="Courier New" w:hAnsi="Courier New"/>
          <w:b/>
          <w:bCs/>
          <w:color w:val="1B2A4A"/>
          <w:sz w:val="18"/>
          <w:szCs w:val="18"/>
        </w:rPr>
        <w:t xml:space="preserve">§3.4.a  </w:t>
      </w:r>
      <w:r>
        <w:rPr>
          <w:rFonts w:ascii="Garamond" w:cs="Garamond" w:eastAsia="Garamond" w:hAnsi="Garamond"/>
          <w:b/>
          <w:bCs/>
          <w:color w:val="1B2A4A"/>
          <w:sz w:val="22"/>
          <w:szCs w:val="22"/>
        </w:rPr>
        <w:t xml:space="preserve">Criteria Hierarchy</w:t>
      </w:r>
    </w:p>
    <w:p>
      <w:pPr>
        <w:spacing w:after="120" w:before="0"/>
        <w:ind w:left="863"/>
        <w:jc w:val="both"/>
      </w:pPr>
      <w:r>
        <w:rPr>
          <w:rFonts w:ascii="Garamond" w:cs="Garamond" w:eastAsia="Garamond" w:hAnsi="Garamond"/>
          <w:color w:val="2a2520"/>
          <w:sz w:val="22"/>
          <w:szCs w:val="22"/>
        </w:rPr>
        <w:t xml:space="preserve">Redistricting Criteria — State district maps must meet five criteria: population equality within tolerance, geographic contiguity, compliance with §1.8 non-discrimination, no intentional dilution of minority voting power, and reasonable geographic compactness. States have discretion within these bounds — there is no single correct map.</w:t>
      </w:r>
    </w:p>
    <w:p>
      <w:pPr>
        <w:spacing w:after="60" w:before="200"/>
        <w:ind w:left="863"/>
      </w:pPr>
      <w:r>
        <w:rPr>
          <w:rFonts w:ascii="Courier New" w:cs="Courier New" w:eastAsia="Courier New" w:hAnsi="Courier New"/>
          <w:b/>
          <w:bCs/>
          <w:color w:val="1B2A4A"/>
          <w:sz w:val="18"/>
          <w:szCs w:val="18"/>
        </w:rPr>
        <w:t xml:space="preserve">§3.4.b  </w:t>
      </w:r>
      <w:r>
        <w:rPr>
          <w:rFonts w:ascii="Garamond" w:cs="Garamond" w:eastAsia="Garamond" w:hAnsi="Garamond"/>
          <w:b/>
          <w:bCs/>
          <w:color w:val="1B2A4A"/>
          <w:sz w:val="22"/>
          <w:szCs w:val="22"/>
        </w:rPr>
        <w:t xml:space="preserve">Prohibited Inputs</w:t>
      </w:r>
    </w:p>
    <w:p>
      <w:pPr>
        <w:spacing w:after="120" w:before="0"/>
        <w:ind w:left="863"/>
        <w:jc w:val="both"/>
      </w:pPr>
      <w:r>
        <w:rPr>
          <w:rFonts w:ascii="Garamond" w:cs="Garamond" w:eastAsia="Garamond" w:hAnsi="Garamond"/>
          <w:color w:val="2a2520"/>
          <w:sz w:val="22"/>
          <w:szCs w:val="22"/>
        </w:rPr>
        <w:t xml:space="preserve">LI Redistricting Review — the LI reviews all State-drawn district maps within 60 days of submission. If a map fails the §3.4.a criteria, the LI publishes specific findings and the State must submit a corrected map within 30 days. If the corrected map still fails, the LI draws a compliant interim map. The LI cannot draw a permanent map — only an interim one pending State compliance.</w:t>
      </w:r>
    </w:p>
    <w:p>
      <w:pPr>
        <w:spacing w:after="60" w:before="200"/>
        <w:ind w:left="863"/>
      </w:pPr>
      <w:r>
        <w:rPr>
          <w:rFonts w:ascii="Courier New" w:cs="Courier New" w:eastAsia="Courier New" w:hAnsi="Courier New"/>
          <w:b/>
          <w:bCs/>
          <w:color w:val="1B2A4A"/>
          <w:sz w:val="18"/>
          <w:szCs w:val="18"/>
        </w:rPr>
        <w:t xml:space="preserve">§3.4.c  </w:t>
      </w:r>
      <w:r>
        <w:rPr>
          <w:rFonts w:ascii="Garamond" w:cs="Garamond" w:eastAsia="Garamond" w:hAnsi="Garamond"/>
          <w:b/>
          <w:bCs/>
          <w:color w:val="1B2A4A"/>
          <w:sz w:val="22"/>
          <w:szCs w:val="22"/>
        </w:rPr>
        <w:t xml:space="preserve">Drawing Authority — States</w:t>
      </w:r>
    </w:p>
    <w:p>
      <w:pPr>
        <w:spacing w:after="120" w:before="0"/>
        <w:ind w:left="863"/>
        <w:jc w:val="both"/>
      </w:pPr>
      <w:r>
        <w:rPr>
          <w:rFonts w:ascii="Garamond" w:cs="Garamond" w:eastAsia="Garamond" w:hAnsi="Garamond"/>
          <w:color w:val="2a2520"/>
          <w:sz w:val="22"/>
          <w:szCs w:val="22"/>
        </w:rPr>
        <w:t xml:space="preserve">Redistricting Cycle — maps are drawn after each census, every 10 years. Emergency redistricting may occur if a State's population changes significantly between census cycles. A State may not redistrict more than once per census cycle without LI approval.</w:t>
      </w:r>
    </w:p>
    <w:p>
      <w:pPr>
        <w:spacing w:after="60" w:before="200"/>
        <w:ind w:left="863"/>
      </w:pPr>
      <w:r>
        <w:rPr>
          <w:rFonts w:ascii="Courier New" w:cs="Courier New" w:eastAsia="Courier New" w:hAnsi="Courier New"/>
          <w:b/>
          <w:bCs/>
          <w:color w:val="1B2A4A"/>
          <w:sz w:val="18"/>
          <w:szCs w:val="18"/>
        </w:rPr>
        <w:t xml:space="preserve">§3.4.d  </w:t>
      </w:r>
      <w:r>
        <w:rPr>
          <w:rFonts w:ascii="Garamond" w:cs="Garamond" w:eastAsia="Garamond" w:hAnsi="Garamond"/>
          <w:b/>
          <w:bCs/>
          <w:color w:val="1B2A4A"/>
          <w:sz w:val="22"/>
          <w:szCs w:val="22"/>
        </w:rPr>
        <w:t xml:space="preserve">Drawing Authority — Federal Territories</w:t>
      </w:r>
    </w:p>
    <w:p>
      <w:pPr>
        <w:spacing w:after="120" w:before="0"/>
        <w:ind w:left="863"/>
        <w:jc w:val="both"/>
      </w:pPr>
      <w:r>
        <w:rPr>
          <w:rFonts w:ascii="Garamond" w:cs="Garamond" w:eastAsia="Garamond" w:hAnsi="Garamond"/>
          <w:color w:val="2a2520"/>
          <w:sz w:val="22"/>
          <w:szCs w:val="22"/>
        </w:rPr>
        <w:t xml:space="preserve">Federal Territorial Districts — where federal territories elect House representatives, the Electoral Commission draws the territorial districts in consultation with the territory's governance council. Territorial districts are drawn under the same criteria that apply to State districts.</w:t>
      </w:r>
    </w:p>
    <w:p>
      <w:pPr>
        <w:spacing w:after="60" w:before="200"/>
        <w:ind w:left="863"/>
      </w:pPr>
      <w:r>
        <w:rPr>
          <w:rFonts w:ascii="Courier New" w:cs="Courier New" w:eastAsia="Courier New" w:hAnsi="Courier New"/>
          <w:b/>
          <w:bCs/>
          <w:color w:val="1B2A4A"/>
          <w:sz w:val="18"/>
          <w:szCs w:val="18"/>
        </w:rPr>
        <w:t xml:space="preserve">§3.4.e  </w:t>
      </w:r>
      <w:r>
        <w:rPr>
          <w:rFonts w:ascii="Garamond" w:cs="Garamond" w:eastAsia="Garamond" w:hAnsi="Garamond"/>
          <w:b/>
          <w:bCs/>
          <w:color w:val="1B2A4A"/>
          <w:sz w:val="22"/>
          <w:szCs w:val="22"/>
        </w:rPr>
        <w:t xml:space="preserve">National Compliance Review</w:t>
      </w:r>
    </w:p>
    <w:p>
      <w:pPr>
        <w:spacing w:after="120" w:before="0"/>
        <w:ind w:left="863"/>
        <w:jc w:val="both"/>
      </w:pPr>
      <w:r>
        <w:rPr>
          <w:rFonts w:ascii="Garamond" w:cs="Garamond" w:eastAsia="Garamond" w:hAnsi="Garamond"/>
          <w:color w:val="2a2520"/>
          <w:sz w:val="22"/>
          <w:szCs w:val="22"/>
        </w:rPr>
        <w:t xml:space="preserve">At-Large Seats — 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863"/>
      </w:pPr>
      <w:r>
        <w:rPr>
          <w:rFonts w:ascii="Courier New" w:cs="Courier New" w:eastAsia="Courier New" w:hAnsi="Courier New"/>
          <w:b/>
          <w:bCs/>
          <w:color w:val="1B2A4A"/>
          <w:sz w:val="18"/>
          <w:szCs w:val="18"/>
        </w:rPr>
        <w:t xml:space="preserve">§3.4.f  </w:t>
      </w:r>
      <w:r>
        <w:rPr>
          <w:rFonts w:ascii="Garamond" w:cs="Garamond" w:eastAsia="Garamond" w:hAnsi="Garamond"/>
          <w:b/>
          <w:bCs/>
          <w:color w:val="1B2A4A"/>
          <w:sz w:val="22"/>
          <w:szCs w:val="22"/>
        </w:rPr>
        <w:t xml:space="preserve">Court Adjudication</w:t>
      </w:r>
    </w:p>
    <w:p>
      <w:pPr>
        <w:spacing w:after="120" w:before="0"/>
        <w:ind w:left="863"/>
        <w:jc w:val="both"/>
      </w:pPr>
      <w:r>
        <w:rPr>
          <w:rFonts w:ascii="Garamond" w:cs="Garamond" w:eastAsia="Garamond" w:hAnsi="Garamond"/>
          <w:color w:val="2a2520"/>
          <w:sz w:val="22"/>
          <w:szCs w:val="22"/>
        </w:rPr>
        <w:t xml:space="preserve">District Vacancy — when a House district seat falls vacant mid-term, the Electoral Commission administers a special election within 90 days. The replacement serves only the remainder of the original term. If fewer than 90 days remain in the term, the vacancy is not filled.</w:t>
      </w:r>
    </w:p>
    <w:p>
      <w:pPr>
        <w:spacing w:after="60" w:before="200"/>
        <w:ind w:left="863"/>
      </w:pPr>
      <w:r>
        <w:rPr>
          <w:rFonts w:ascii="Courier New" w:cs="Courier New" w:eastAsia="Courier New" w:hAnsi="Courier New"/>
          <w:b/>
          <w:bCs/>
          <w:color w:val="1B2A4A"/>
          <w:sz w:val="18"/>
          <w:szCs w:val="18"/>
        </w:rPr>
        <w:t xml:space="preserve">§3.4.g  </w:t>
      </w:r>
      <w:r>
        <w:rPr>
          <w:rFonts w:ascii="Garamond" w:cs="Garamond" w:eastAsia="Garamond" w:hAnsi="Garamond"/>
          <w:b/>
          <w:bCs/>
          <w:color w:val="1B2A4A"/>
          <w:sz w:val="22"/>
          <w:szCs w:val="22"/>
        </w:rPr>
        <w:t xml:space="preserve">Continuity</w:t>
      </w:r>
    </w:p>
    <w:p>
      <w:pPr>
        <w:spacing w:after="120" w:before="0"/>
        <w:ind w:left="863"/>
        <w:jc w:val="both"/>
      </w:pPr>
      <w:r>
        <w:rPr>
          <w:rFonts w:ascii="Garamond" w:cs="Garamond" w:eastAsia="Garamond" w:hAnsi="Garamond"/>
          <w:color w:val="2a2520"/>
          <w:sz w:val="22"/>
          <w:szCs w:val="22"/>
        </w:rPr>
        <w:t xml:space="preserve">Redistricting Transparency — 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431"/>
      </w:pPr>
      <w:r>
        <w:rPr>
          <w:rFonts w:ascii="Courier New" w:cs="Courier New" w:eastAsia="Courier New" w:hAnsi="Courier New"/>
          <w:b/>
          <w:bCs/>
          <w:color w:val="1B2A4A"/>
          <w:sz w:val="18"/>
          <w:szCs w:val="18"/>
        </w:rPr>
        <w:t xml:space="preserve">§3.5  </w:t>
      </w:r>
      <w:r>
        <w:rPr>
          <w:rFonts w:ascii="Garamond" w:cs="Garamond" w:eastAsia="Garamond" w:hAnsi="Garamond"/>
          <w:b/>
          <w:bCs/>
          <w:color w:val="1B2A4A"/>
          <w:sz w:val="22"/>
          <w:szCs w:val="22"/>
        </w:rPr>
        <w:t xml:space="preserve">The House — Composition and Structure</w:t>
      </w:r>
    </w:p>
    <w:p>
      <w:pPr>
        <w:spacing w:after="120" w:before="0"/>
        <w:ind w:left="431"/>
        <w:jc w:val="both"/>
      </w:pPr>
      <w:r>
        <w:rPr>
          <w:rFonts w:ascii="Garamond" w:cs="Garamond" w:eastAsia="Garamond" w:hAnsi="Garamond"/>
          <w:color w:val="2a2520"/>
          <w:sz w:val="22"/>
          <w:szCs w:val="22"/>
        </w:rPr>
        <w:t xml:space="preserve">The House — the proportional chamber. Seats allocated by population, minimum one per State, floor of one per 750,000 citizens. The House originates all legislation and fiscal measures, elects the PM, and is the primary democratic accountability mechanism for the executive. Every member elected every 4 years makes it the chamber closest to current public sentiment.</w:t>
      </w:r>
    </w:p>
    <w:p>
      <w:pPr>
        <w:spacing w:after="60" w:before="200"/>
        <w:ind w:left="863"/>
      </w:pPr>
      <w:r>
        <w:rPr>
          <w:rFonts w:ascii="Courier New" w:cs="Courier New" w:eastAsia="Courier New" w:hAnsi="Courier New"/>
          <w:b/>
          <w:bCs/>
          <w:color w:val="1B2A4A"/>
          <w:sz w:val="18"/>
          <w:szCs w:val="18"/>
        </w:rPr>
        <w:t xml:space="preserve">§3.5.a  </w:t>
      </w:r>
      <w:r>
        <w:rPr>
          <w:rFonts w:ascii="Garamond" w:cs="Garamond" w:eastAsia="Garamond" w:hAnsi="Garamond"/>
          <w:b/>
          <w:bCs/>
          <w:color w:val="1B2A4A"/>
          <w:sz w:val="22"/>
          <w:szCs w:val="22"/>
        </w:rPr>
        <w:t xml:space="preserve">House Membership Formula</w:t>
      </w:r>
    </w:p>
    <w:p>
      <w:pPr>
        <w:spacing w:after="120" w:before="0"/>
        <w:ind w:left="863"/>
        <w:jc w:val="both"/>
      </w:pPr>
      <w:r>
        <w:rPr>
          <w:rFonts w:ascii="Garamond" w:cs="Garamond" w:eastAsia="Garamond" w:hAnsi="Garamond"/>
          <w:color w:val="2a2520"/>
          <w:sz w:val="22"/>
          <w:szCs w:val="22"/>
        </w:rPr>
        <w:t xml:space="preserve">House Membership Formula — seats allocated by the LI census using a formula of one seat per N citizens where N is set by statute, minimum one seat per State. Any formula producing fewer than one seat per 500,000 citizens requires published LI justification. The formula is automatic — no political negotiation of seat allocation.</w:t>
      </w:r>
    </w:p>
    <w:p>
      <w:pPr>
        <w:spacing w:after="60" w:before="200"/>
        <w:ind w:left="863"/>
      </w:pPr>
      <w:r>
        <w:rPr>
          <w:rFonts w:ascii="Courier New" w:cs="Courier New" w:eastAsia="Courier New" w:hAnsi="Courier New"/>
          <w:b/>
          <w:bCs/>
          <w:color w:val="1B2A4A"/>
          <w:sz w:val="18"/>
          <w:szCs w:val="18"/>
        </w:rPr>
        <w:t xml:space="preserve">§3.5.b  </w:t>
      </w:r>
      <w:r>
        <w:rPr>
          <w:rFonts w:ascii="Garamond" w:cs="Garamond" w:eastAsia="Garamond" w:hAnsi="Garamond"/>
          <w:b/>
          <w:bCs/>
          <w:color w:val="1B2A4A"/>
          <w:sz w:val="22"/>
          <w:szCs w:val="22"/>
        </w:rPr>
        <w:t xml:space="preserve">House Speaker</w:t>
      </w:r>
    </w:p>
    <w:p>
      <w:pPr>
        <w:spacing w:after="120" w:before="0"/>
        <w:ind w:left="863"/>
        <w:jc w:val="both"/>
      </w:pPr>
      <w:r>
        <w:rPr>
          <w:rFonts w:ascii="Garamond" w:cs="Garamond" w:eastAsia="Garamond" w:hAnsi="Garamond"/>
          <w:color w:val="2a2520"/>
          <w:sz w:val="22"/>
          <w:szCs w:val="22"/>
        </w:rPr>
        <w:t xml:space="preserve">House Speaker — elected by the House from among its members by absolute majority. Presides over House proceedings, manages the legislative calendar, and holds Acting Presidential Authority in the Presidential succession chain. The Speaker's dual role — legislative and succession — keeps the succession line within the elected legislative class.</w:t>
      </w:r>
    </w:p>
    <w:p>
      <w:pPr>
        <w:spacing w:after="60" w:before="200"/>
        <w:ind w:left="863"/>
      </w:pPr>
      <w:r>
        <w:rPr>
          <w:rFonts w:ascii="Courier New" w:cs="Courier New" w:eastAsia="Courier New" w:hAnsi="Courier New"/>
          <w:b/>
          <w:bCs/>
          <w:color w:val="1B2A4A"/>
          <w:sz w:val="18"/>
          <w:szCs w:val="18"/>
        </w:rPr>
        <w:t xml:space="preserve">§3.5.c  </w:t>
      </w:r>
      <w:r>
        <w:rPr>
          <w:rFonts w:ascii="Garamond" w:cs="Garamond" w:eastAsia="Garamond" w:hAnsi="Garamond"/>
          <w:b/>
          <w:bCs/>
          <w:color w:val="1B2A4A"/>
          <w:sz w:val="22"/>
          <w:szCs w:val="22"/>
        </w:rPr>
        <w:t xml:space="preserve">House Vacancy</w:t>
      </w:r>
    </w:p>
    <w:p>
      <w:pPr>
        <w:spacing w:after="120" w:before="0"/>
        <w:ind w:left="863"/>
        <w:jc w:val="both"/>
      </w:pPr>
      <w:r>
        <w:rPr>
          <w:rFonts w:ascii="Garamond" w:cs="Garamond" w:eastAsia="Garamond" w:hAnsi="Garamond"/>
          <w:color w:val="2a2520"/>
          <w:sz w:val="22"/>
          <w:szCs w:val="22"/>
        </w:rPr>
        <w:t xml:space="preserve">House Vacancy — a House seat that falls vacant mid-term triggers a special election within 90 days if more than 90 days remain in the term. Short-term vacancies (fewer than 90 days) are not filled — the seat remains vacant for the remainder of the term.</w:t>
      </w:r>
    </w:p>
    <w:p>
      <w:pPr>
        <w:spacing w:after="60" w:before="200"/>
        <w:ind w:left="863"/>
      </w:pPr>
      <w:r>
        <w:rPr>
          <w:rFonts w:ascii="Courier New" w:cs="Courier New" w:eastAsia="Courier New" w:hAnsi="Courier New"/>
          <w:b/>
          <w:bCs/>
          <w:color w:val="1B2A4A"/>
          <w:sz w:val="18"/>
          <w:szCs w:val="18"/>
        </w:rPr>
        <w:t xml:space="preserve">§3.5.d  </w:t>
      </w:r>
      <w:r>
        <w:rPr>
          <w:rFonts w:ascii="Garamond" w:cs="Garamond" w:eastAsia="Garamond" w:hAnsi="Garamond"/>
          <w:b/>
          <w:bCs/>
          <w:color w:val="1B2A4A"/>
          <w:sz w:val="22"/>
          <w:szCs w:val="22"/>
        </w:rPr>
        <w:t xml:space="preserve">House Quorum</w:t>
      </w:r>
    </w:p>
    <w:p>
      <w:pPr>
        <w:spacing w:after="120" w:before="0"/>
        <w:ind w:left="863"/>
        <w:jc w:val="both"/>
      </w:pPr>
      <w:r>
        <w:rPr>
          <w:rFonts w:ascii="Garamond" w:cs="Garamond" w:eastAsia="Garamond" w:hAnsi="Garamond"/>
          <w:color w:val="2a2520"/>
          <w:sz w:val="22"/>
          <w:szCs w:val="22"/>
        </w:rPr>
        <w:t xml:space="preserve">House Quorum — 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863"/>
      </w:pPr>
      <w:r>
        <w:rPr>
          <w:rFonts w:ascii="Courier New" w:cs="Courier New" w:eastAsia="Courier New" w:hAnsi="Courier New"/>
          <w:b/>
          <w:bCs/>
          <w:color w:val="1B2A4A"/>
          <w:sz w:val="18"/>
          <w:szCs w:val="18"/>
        </w:rPr>
        <w:t xml:space="preserve">§3.6.a  </w:t>
      </w:r>
      <w:r>
        <w:rPr>
          <w:rFonts w:ascii="Garamond" w:cs="Garamond" w:eastAsia="Garamond" w:hAnsi="Garamond"/>
          <w:b/>
          <w:bCs/>
          <w:color w:val="1B2A4A"/>
          <w:sz w:val="22"/>
          <w:szCs w:val="22"/>
        </w:rPr>
        <w:t xml:space="preserve">House Expulsion</w:t>
      </w:r>
    </w:p>
    <w:p>
      <w:pPr>
        <w:spacing w:after="120" w:before="0"/>
        <w:ind w:left="863"/>
        <w:jc w:val="both"/>
      </w:pPr>
      <w:r>
        <w:rPr>
          <w:rFonts w:ascii="Garamond" w:cs="Garamond" w:eastAsia="Garamond" w:hAnsi="Garamond"/>
          <w:color w:val="2a2520"/>
          <w:sz w:val="22"/>
          <w:szCs w:val="22"/>
        </w:rPr>
        <w:t xml:space="preserve">Inspectorate Access to Legislative Records — all three Inspectorates have full access to legislative records, committee deliberations, voting records, and draft legislation. The Legislature may not classify records from the Inspectorates.</w:t>
      </w:r>
    </w:p>
    <w:p>
      <w:pPr>
        <w:spacing w:after="60" w:before="200"/>
        <w:ind w:left="863"/>
      </w:pPr>
      <w:r>
        <w:rPr>
          <w:rFonts w:ascii="Courier New" w:cs="Courier New" w:eastAsia="Courier New" w:hAnsi="Courier New"/>
          <w:b/>
          <w:bCs/>
          <w:color w:val="1B2A4A"/>
          <w:sz w:val="18"/>
          <w:szCs w:val="18"/>
        </w:rPr>
        <w:t xml:space="preserve">§3.6.b  </w:t>
      </w:r>
      <w:r>
        <w:rPr>
          <w:rFonts w:ascii="Garamond" w:cs="Garamond" w:eastAsia="Garamond" w:hAnsi="Garamond"/>
          <w:b/>
          <w:bCs/>
          <w:color w:val="1B2A4A"/>
          <w:sz w:val="22"/>
          <w:szCs w:val="22"/>
        </w:rPr>
        <w:t xml:space="preserve">Senate Expulsion</w:t>
      </w:r>
    </w:p>
    <w:p>
      <w:pPr>
        <w:spacing w:after="120" w:before="0"/>
        <w:ind w:left="863"/>
        <w:jc w:val="both"/>
      </w:pPr>
      <w:r>
        <w:rPr>
          <w:rFonts w:ascii="Garamond" w:cs="Garamond" w:eastAsia="Garamond" w:hAnsi="Garamond"/>
          <w:color w:val="2a2520"/>
          <w:sz w:val="22"/>
          <w:szCs w:val="22"/>
        </w:rPr>
        <w:t xml:space="preserve">LI Pre-Passage Constitutional Review — the LI publishes a constitutional analysis of any bill that appears to conflict with a constitutional provision, before the bill reaches a final vote. Advisory, not blocking — but creates a permanent NRS record that any member voting for the bill voted with full knowledge of the constitutional concern.</w:t>
      </w:r>
    </w:p>
    <w:p>
      <w:pPr>
        <w:spacing w:after="60" w:before="200"/>
        <w:ind w:left="863"/>
      </w:pPr>
      <w:r>
        <w:rPr>
          <w:rFonts w:ascii="Courier New" w:cs="Courier New" w:eastAsia="Courier New" w:hAnsi="Courier New"/>
          <w:b/>
          <w:bCs/>
          <w:color w:val="1B2A4A"/>
          <w:sz w:val="18"/>
          <w:szCs w:val="18"/>
        </w:rPr>
        <w:t xml:space="preserve">§3.6.c  </w:t>
      </w:r>
      <w:r>
        <w:rPr>
          <w:rFonts w:ascii="Garamond" w:cs="Garamond" w:eastAsia="Garamond" w:hAnsi="Garamond"/>
          <w:b/>
          <w:bCs/>
          <w:color w:val="1B2A4A"/>
          <w:sz w:val="22"/>
          <w:szCs w:val="22"/>
        </w:rPr>
        <w:t xml:space="preserve">Anti-Weaponization Threshold</w:t>
      </w:r>
    </w:p>
    <w:p>
      <w:pPr>
        <w:spacing w:after="120" w:before="0"/>
        <w:ind w:left="863"/>
        <w:jc w:val="both"/>
      </w:pPr>
      <w:r>
        <w:rPr>
          <w:rFonts w:ascii="Garamond" w:cs="Garamond" w:eastAsia="Garamond" w:hAnsi="Garamond"/>
          <w:color w:val="2a2520"/>
          <w:sz w:val="22"/>
          <w:szCs w:val="22"/>
        </w:rPr>
        <w:t xml:space="preserve">Committee Structure — both chambers must maintain standing committees for their constitutionally assigned functions. Committees may not be abolished while they hold a constitutional mandate. The LI audits committee operations annually.</w:t>
      </w:r>
    </w:p>
    <w:p>
      <w:pPr>
        <w:spacing w:after="60" w:before="200"/>
        <w:ind w:left="863"/>
      </w:pPr>
      <w:r>
        <w:rPr>
          <w:rFonts w:ascii="Courier New" w:cs="Courier New" w:eastAsia="Courier New" w:hAnsi="Courier New"/>
          <w:b/>
          <w:bCs/>
          <w:color w:val="1B2A4A"/>
          <w:sz w:val="18"/>
          <w:szCs w:val="18"/>
        </w:rPr>
        <w:t xml:space="preserve">§3.6.d  </w:t>
      </w:r>
      <w:r>
        <w:rPr>
          <w:rFonts w:ascii="Garamond" w:cs="Garamond" w:eastAsia="Garamond" w:hAnsi="Garamond"/>
          <w:b/>
          <w:bCs/>
          <w:color w:val="1B2A4A"/>
          <w:sz w:val="22"/>
          <w:szCs w:val="22"/>
        </w:rPr>
        <w:t xml:space="preserve">Consequences and Restoration</w:t>
      </w:r>
    </w:p>
    <w:p>
      <w:pPr>
        <w:spacing w:after="120" w:before="0"/>
        <w:ind w:left="863"/>
        <w:jc w:val="both"/>
      </w:pPr>
      <w:r>
        <w:rPr>
          <w:rFonts w:ascii="Garamond" w:cs="Garamond" w:eastAsia="Garamond" w:hAnsi="Garamond"/>
          <w:color w:val="2a2520"/>
          <w:sz w:val="22"/>
          <w:szCs w:val="22"/>
        </w:rPr>
        <w:t xml:space="preserve">Joint Sessions — 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863"/>
      </w:pPr>
      <w:r>
        <w:rPr>
          <w:rFonts w:ascii="Courier New" w:cs="Courier New" w:eastAsia="Courier New" w:hAnsi="Courier New"/>
          <w:b/>
          <w:bCs/>
          <w:color w:val="1B2A4A"/>
          <w:sz w:val="18"/>
          <w:szCs w:val="18"/>
        </w:rPr>
        <w:t xml:space="preserve">§3.6.e  </w:t>
      </w:r>
      <w:r>
        <w:rPr>
          <w:rFonts w:ascii="Garamond" w:cs="Garamond" w:eastAsia="Garamond" w:hAnsi="Garamond"/>
          <w:b/>
          <w:bCs/>
          <w:color w:val="1B2A4A"/>
          <w:sz w:val="22"/>
          <w:szCs w:val="22"/>
        </w:rPr>
        <w:t xml:space="preserve">Recall — States and Territories</w:t>
      </w:r>
    </w:p>
    <w:p>
      <w:pPr>
        <w:spacing w:after="120" w:before="0"/>
        <w:ind w:left="863"/>
        <w:jc w:val="both"/>
      </w:pPr>
      <w:r>
        <w:rPr>
          <w:rFonts w:ascii="Garamond" w:cs="Garamond" w:eastAsia="Garamond" w:hAnsi="Garamond"/>
          <w:color w:val="2a2520"/>
          <w:sz w:val="22"/>
          <w:szCs w:val="22"/>
        </w:rPr>
        <w:t xml:space="preserve">Ethics and Conduct — 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863"/>
      </w:pPr>
      <w:r>
        <w:rPr>
          <w:rFonts w:ascii="Courier New" w:cs="Courier New" w:eastAsia="Courier New" w:hAnsi="Courier New"/>
          <w:b/>
          <w:bCs/>
          <w:color w:val="1B2A4A"/>
          <w:sz w:val="18"/>
          <w:szCs w:val="18"/>
        </w:rPr>
        <w:t xml:space="preserve">§3.6.f  </w:t>
      </w:r>
      <w:r>
        <w:rPr>
          <w:rFonts w:ascii="Garamond" w:cs="Garamond" w:eastAsia="Garamond" w:hAnsi="Garamond"/>
          <w:b/>
          <w:bCs/>
          <w:color w:val="1B2A4A"/>
          <w:sz w:val="22"/>
          <w:szCs w:val="22"/>
        </w:rPr>
        <w:t xml:space="preserve">Vacancy Filling — States and Territories</w:t>
      </w:r>
    </w:p>
    <w:p>
      <w:pPr>
        <w:spacing w:after="120" w:before="0"/>
        <w:ind w:left="863"/>
        <w:jc w:val="both"/>
      </w:pPr>
      <w:r>
        <w:rPr>
          <w:rFonts w:ascii="Garamond" w:cs="Garamond" w:eastAsia="Garamond" w:hAnsi="Garamond"/>
          <w:color w:val="2a2520"/>
          <w:sz w:val="22"/>
          <w:szCs w:val="22"/>
        </w:rPr>
        <w:t xml:space="preserve">Legislative Privilege — 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863"/>
      </w:pPr>
      <w:r>
        <w:rPr>
          <w:rFonts w:ascii="Courier New" w:cs="Courier New" w:eastAsia="Courier New" w:hAnsi="Courier New"/>
          <w:b/>
          <w:bCs/>
          <w:color w:val="1B2A4A"/>
          <w:sz w:val="18"/>
          <w:szCs w:val="18"/>
        </w:rPr>
        <w:t xml:space="preserve">§3.7.a  </w:t>
      </w:r>
      <w:r>
        <w:rPr>
          <w:rFonts w:ascii="Garamond" w:cs="Garamond" w:eastAsia="Garamond" w:hAnsi="Garamond"/>
          <w:b/>
          <w:bCs/>
          <w:color w:val="1B2A4A"/>
          <w:sz w:val="22"/>
          <w:szCs w:val="22"/>
        </w:rPr>
        <w:t xml:space="preserve">Authorization</w:t>
      </w:r>
    </w:p>
    <w:p>
      <w:pPr>
        <w:spacing w:after="120" w:before="0"/>
        <w:ind w:left="863"/>
        <w:jc w:val="both"/>
      </w:pPr>
      <w:r>
        <w:rPr>
          <w:rFonts w:ascii="Garamond" w:cs="Garamond" w:eastAsia="Garamond" w:hAnsi="Garamond"/>
          <w:color w:val="2a2520"/>
          <w:sz w:val="22"/>
          <w:szCs w:val="22"/>
        </w:rPr>
        <w:t xml:space="preserve">Statutory Independent Officers — the constitution authorizes the Legislature to create independent statutory offices outside both executive domains. They exercise regulatory, quasi-judicial, or administrative functions with constitutional independence — neither executive may direct their operations.</w:t>
      </w:r>
    </w:p>
    <w:p>
      <w:pPr>
        <w:spacing w:after="60" w:before="200"/>
        <w:ind w:left="863"/>
      </w:pPr>
      <w:r>
        <w:rPr>
          <w:rFonts w:ascii="Courier New" w:cs="Courier New" w:eastAsia="Courier New" w:hAnsi="Courier New"/>
          <w:b/>
          <w:bCs/>
          <w:color w:val="1B2A4A"/>
          <w:sz w:val="18"/>
          <w:szCs w:val="18"/>
        </w:rPr>
        <w:t xml:space="preserve">§3.7.b  </w:t>
      </w:r>
      <w:r>
        <w:rPr>
          <w:rFonts w:ascii="Garamond" w:cs="Garamond" w:eastAsia="Garamond" w:hAnsi="Garamond"/>
          <w:b/>
          <w:bCs/>
          <w:color w:val="1B2A4A"/>
          <w:sz w:val="22"/>
          <w:szCs w:val="22"/>
        </w:rPr>
        <w:t xml:space="preserve">Appointment</w:t>
      </w:r>
    </w:p>
    <w:p>
      <w:pPr>
        <w:spacing w:after="120" w:before="0"/>
        <w:ind w:left="863"/>
        <w:jc w:val="both"/>
      </w:pPr>
      <w:r>
        <w:rPr>
          <w:rFonts w:ascii="Garamond" w:cs="Garamond" w:eastAsia="Garamond" w:hAnsi="Garamond"/>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863"/>
      </w:pPr>
      <w:r>
        <w:rPr>
          <w:rFonts w:ascii="Courier New" w:cs="Courier New" w:eastAsia="Courier New" w:hAnsi="Courier New"/>
          <w:b/>
          <w:bCs/>
          <w:color w:val="1B2A4A"/>
          <w:sz w:val="18"/>
          <w:szCs w:val="18"/>
        </w:rPr>
        <w:t xml:space="preserve">§3.7.c  </w:t>
      </w:r>
      <w:r>
        <w:rPr>
          <w:rFonts w:ascii="Garamond" w:cs="Garamond" w:eastAsia="Garamond" w:hAnsi="Garamond"/>
          <w:b/>
          <w:bCs/>
          <w:color w:val="1B2A4A"/>
          <w:sz w:val="22"/>
          <w:szCs w:val="22"/>
        </w:rPr>
        <w:t xml:space="preserve">Removal</w:t>
      </w:r>
    </w:p>
    <w:p>
      <w:pPr>
        <w:spacing w:after="120" w:before="0"/>
        <w:ind w:left="863"/>
        <w:jc w:val="both"/>
      </w:pPr>
      <w:r>
        <w:rPr>
          <w:rFonts w:ascii="Garamond" w:cs="Garamond" w:eastAsia="Garamond" w:hAnsi="Garamond"/>
          <w:color w:val="2a2520"/>
          <w:sz w:val="22"/>
          <w:szCs w:val="22"/>
        </w:rPr>
        <w:t xml:space="preserve">Senate Confirmation of Independent Officers — confirmed by the Senate. Thresholds defined by the enabling statute within constitutional bounds. The Senate may not confirm an officer the EI has flagged for a material disclosure inaccuracy until the discrepancy is resolved.</w:t>
      </w:r>
    </w:p>
    <w:p>
      <w:pPr>
        <w:spacing w:after="60" w:before="200"/>
        <w:ind w:left="863"/>
      </w:pPr>
      <w:r>
        <w:rPr>
          <w:rFonts w:ascii="Courier New" w:cs="Courier New" w:eastAsia="Courier New" w:hAnsi="Courier New"/>
          <w:b/>
          <w:bCs/>
          <w:color w:val="1B2A4A"/>
          <w:sz w:val="18"/>
          <w:szCs w:val="18"/>
        </w:rPr>
        <w:t xml:space="preserve">§3.7.d  </w:t>
      </w:r>
      <w:r>
        <w:rPr>
          <w:rFonts w:ascii="Garamond" w:cs="Garamond" w:eastAsia="Garamond" w:hAnsi="Garamond"/>
          <w:b/>
          <w:bCs/>
          <w:color w:val="1B2A4A"/>
          <w:sz w:val="22"/>
          <w:szCs w:val="22"/>
        </w:rPr>
        <w:t xml:space="preserve">Oversight</w:t>
      </w:r>
    </w:p>
    <w:p>
      <w:pPr>
        <w:spacing w:after="120" w:before="0"/>
        <w:ind w:left="863"/>
        <w:jc w:val="both"/>
      </w:pPr>
      <w:r>
        <w:rPr>
          <w:rFonts w:ascii="Garamond" w:cs="Garamond" w:eastAsia="Garamond" w:hAnsi="Garamond"/>
          <w:color w:val="2a2520"/>
          <w:sz w:val="22"/>
          <w:szCs w:val="22"/>
        </w:rPr>
        <w:t xml:space="preserve">Removal of Independent Officers — removal requires a for-cause finding. The EI must publish a factual finding before any removal vote. Removal is by 2/3 of both chambers simultaneously. Neither executive may remove a statutory independent officer unilaterally.</w:t>
      </w:r>
    </w:p>
    <w:p>
      <w:pPr>
        <w:spacing w:after="60" w:before="200"/>
        <w:ind w:left="863"/>
      </w:pPr>
      <w:r>
        <w:rPr>
          <w:rFonts w:ascii="Courier New" w:cs="Courier New" w:eastAsia="Courier New" w:hAnsi="Courier New"/>
          <w:b/>
          <w:bCs/>
          <w:color w:val="1B2A4A"/>
          <w:sz w:val="18"/>
          <w:szCs w:val="18"/>
        </w:rPr>
        <w:t xml:space="preserve">§3.7.e  </w:t>
      </w:r>
      <w:r>
        <w:rPr>
          <w:rFonts w:ascii="Garamond" w:cs="Garamond" w:eastAsia="Garamond" w:hAnsi="Garamond"/>
          <w:b/>
          <w:bCs/>
          <w:color w:val="1B2A4A"/>
          <w:sz w:val="22"/>
          <w:szCs w:val="22"/>
        </w:rPr>
        <w:t xml:space="preserve">Limits</w:t>
      </w:r>
    </w:p>
    <w:p>
      <w:pPr>
        <w:spacing w:after="120" w:before="0"/>
        <w:ind w:left="863"/>
        <w:jc w:val="both"/>
      </w:pPr>
      <w:r>
        <w:rPr>
          <w:rFonts w:ascii="Garamond" w:cs="Garamond" w:eastAsia="Garamond" w:hAnsi="Garamond"/>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IV — The Judiciary</w:t>
      </w:r>
    </w:p>
    <w:p>
      <w:pPr>
        <w:spacing w:after="120"/>
      </w:pPr>
    </w:p>
    <w:p>
      <w:pPr>
        <w:spacing w:after="60" w:before="200"/>
        <w:ind w:left="863"/>
      </w:pPr>
      <w:r>
        <w:rPr>
          <w:rFonts w:ascii="Courier New" w:cs="Courier New" w:eastAsia="Courier New" w:hAnsi="Courier New"/>
          <w:b/>
          <w:bCs/>
          <w:color w:val="1B2A4A"/>
          <w:sz w:val="18"/>
          <w:szCs w:val="18"/>
        </w:rPr>
        <w:t xml:space="preserve">§4.1.a  </w:t>
      </w:r>
      <w:r>
        <w:rPr>
          <w:rFonts w:ascii="Garamond" w:cs="Garamond" w:eastAsia="Garamond" w:hAnsi="Garamond"/>
          <w:b/>
          <w:bCs/>
          <w:color w:val="1B2A4A"/>
          <w:sz w:val="22"/>
          <w:szCs w:val="22"/>
        </w:rPr>
        <w:t xml:space="preserve">Establishment</w:t>
      </w:r>
    </w:p>
    <w:p>
      <w:pPr>
        <w:spacing w:after="120" w:before="0"/>
        <w:ind w:left="863"/>
        <w:jc w:val="both"/>
      </w:pPr>
      <w:r>
        <w:rPr>
          <w:rFonts w:ascii="Garamond" w:cs="Garamond" w:eastAsia="Garamond" w:hAnsi="Garamond"/>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863"/>
      </w:pPr>
      <w:r>
        <w:rPr>
          <w:rFonts w:ascii="Courier New" w:cs="Courier New" w:eastAsia="Courier New" w:hAnsi="Courier New"/>
          <w:b/>
          <w:bCs/>
          <w:color w:val="1B2A4A"/>
          <w:sz w:val="18"/>
          <w:szCs w:val="18"/>
        </w:rPr>
        <w:t xml:space="preserve">§4.1.b  </w:t>
      </w:r>
      <w:r>
        <w:rPr>
          <w:rFonts w:ascii="Garamond" w:cs="Garamond" w:eastAsia="Garamond" w:hAnsi="Garamond"/>
          <w:b/>
          <w:bCs/>
          <w:color w:val="1B2A4A"/>
          <w:sz w:val="22"/>
          <w:szCs w:val="22"/>
        </w:rPr>
        <w:t xml:space="preserve">Appointment of Inferior Courts</w:t>
      </w:r>
    </w:p>
    <w:p>
      <w:pPr>
        <w:spacing w:after="120" w:before="0"/>
        <w:ind w:left="863"/>
        <w:jc w:val="both"/>
      </w:pPr>
      <w:r>
        <w:rPr>
          <w:rFonts w:ascii="Garamond" w:cs="Garamond" w:eastAsia="Garamond" w:hAnsi="Garamond"/>
          <w:color w:val="2a2520"/>
          <w:sz w:val="22"/>
          <w:szCs w:val="22"/>
        </w:rPr>
        <w:t xml:space="preserve">PM nominates within 90 days; the Senate confirms by a supermajority (55–67% of full seated membership). Senate confirmation corrected from House in v157. Four sub-provisions now numbered §4.1.b.i–iv: (i) Candidate Disclosure and EI Review — PM submits disclosure record to EI before confirmation vote; (ii) PM Failure — Senate Nomination — Senate may nominate if PM fails within 90 days; (iii) Prorated Confirmation Period — shortened period when nomination submitted late; (iv) 180-Day Constitutional Ceiling — no vacancy may remain unfilled beyond 180 days. Deemed Confirmation applies at the ceiling if no vote is held.</w:t>
      </w:r>
    </w:p>
    <w:p>
      <w:pPr>
        <w:spacing w:after="60" w:before="200"/>
        <w:ind w:left="863"/>
      </w:pPr>
      <w:r>
        <w:rPr>
          <w:rFonts w:ascii="Courier New" w:cs="Courier New" w:eastAsia="Courier New" w:hAnsi="Courier New"/>
          <w:b/>
          <w:bCs/>
          <w:color w:val="1B2A4A"/>
          <w:sz w:val="18"/>
          <w:szCs w:val="18"/>
        </w:rPr>
        <w:t xml:space="preserve">§4.1.c  </w:t>
      </w:r>
      <w:r>
        <w:rPr>
          <w:rFonts w:ascii="Garamond" w:cs="Garamond" w:eastAsia="Garamond" w:hAnsi="Garamond"/>
          <w:b/>
          <w:bCs/>
          <w:color w:val="1B2A4A"/>
          <w:sz w:val="22"/>
          <w:szCs w:val="22"/>
        </w:rPr>
        <w:t xml:space="preserve">Judicial Tenure Protection</w:t>
      </w:r>
    </w:p>
    <w:p>
      <w:pPr>
        <w:spacing w:after="120" w:before="0"/>
        <w:ind w:left="863"/>
        <w:jc w:val="both"/>
      </w:pPr>
      <w:r>
        <w:rPr>
          <w:rFonts w:ascii="Garamond" w:cs="Garamond" w:eastAsia="Garamond" w:hAnsi="Garamond"/>
          <w:color w:val="2a2520"/>
          <w:sz w:val="22"/>
          <w:szCs w:val="22"/>
        </w:rPr>
        <w:t xml:space="preserve">Judicial Tenure Protection — inferior court judges, once commissioned, serve during good behavior with no fixed term. The Legislature may establish a maximum service age or maximum total service period (not less than 15 years from first commissioning), but may not create fixed-term appointments shorter than 15 years. Ensures judicial independence from political branches — a judge who must seek reappointment is not fully independent.</w:t>
      </w:r>
    </w:p>
    <w:p>
      <w:pPr>
        <w:spacing w:after="60" w:before="200"/>
        <w:ind w:left="863"/>
      </w:pPr>
      <w:r>
        <w:rPr>
          <w:rFonts w:ascii="Courier New" w:cs="Courier New" w:eastAsia="Courier New" w:hAnsi="Courier New"/>
          <w:b/>
          <w:bCs/>
          <w:color w:val="1B2A4A"/>
          <w:sz w:val="18"/>
          <w:szCs w:val="18"/>
        </w:rPr>
        <w:t xml:space="preserve">§4.1.d  </w:t>
      </w:r>
      <w:r>
        <w:rPr>
          <w:rFonts w:ascii="Garamond" w:cs="Garamond" w:eastAsia="Garamond" w:hAnsi="Garamond"/>
          <w:b/>
          <w:bCs/>
          <w:color w:val="1B2A4A"/>
          <w:sz w:val="22"/>
          <w:szCs w:val="22"/>
        </w:rPr>
        <w:t xml:space="preserve">Judicial Removal</w:t>
      </w:r>
    </w:p>
    <w:p>
      <w:pPr>
        <w:spacing w:after="120" w:before="0"/>
        <w:ind w:left="863"/>
        <w:jc w:val="both"/>
      </w:pPr>
      <w:r>
        <w:rPr>
          <w:rFonts w:ascii="Garamond" w:cs="Garamond" w:eastAsia="Garamond" w:hAnsi="Garamond"/>
          <w:color w:val="2a2520"/>
          <w:sz w:val="22"/>
          <w:szCs w:val="22"/>
        </w:rPr>
        <w:t xml:space="preserve">Judicial Removal — three tracks: legislative removal by 2/3 of both chambers for constitutional breach or demonstrated incapacity; judicial discipline through the SC's internal accountability process; and criminal conviction for disqualifying offenses. The EI must publish a factual finding before any legislative removal vote.</w:t>
      </w:r>
    </w:p>
    <w:p>
      <w:pPr>
        <w:spacing w:after="60" w:before="200"/>
        <w:ind w:left="431"/>
      </w:pPr>
      <w:r>
        <w:rPr>
          <w:rFonts w:ascii="Courier New" w:cs="Courier New" w:eastAsia="Courier New" w:hAnsi="Courier New"/>
          <w:b/>
          <w:bCs/>
          <w:color w:val="1B2A4A"/>
          <w:sz w:val="18"/>
          <w:szCs w:val="18"/>
        </w:rPr>
        <w:t xml:space="preserve">§4.2  </w:t>
      </w:r>
      <w:r>
        <w:rPr>
          <w:rFonts w:ascii="Garamond" w:cs="Garamond" w:eastAsia="Garamond" w:hAnsi="Garamond"/>
          <w:b/>
          <w:bCs/>
          <w:color w:val="1B2A4A"/>
          <w:sz w:val="22"/>
          <w:szCs w:val="22"/>
        </w:rPr>
        <w:t xml:space="preserve">Open-Candidacy Judicial Selection</w:t>
      </w:r>
    </w:p>
    <w:p>
      <w:pPr>
        <w:spacing w:after="120" w:before="0"/>
        <w:ind w:left="431"/>
        <w:jc w:val="both"/>
      </w:pPr>
      <w:r>
        <w:rPr>
          <w:rFonts w:ascii="Garamond" w:cs="Garamond" w:eastAsia="Garamond" w:hAnsi="Garamond"/>
          <w:color w:val="2a2520"/>
          <w:sz w:val="22"/>
          <w:szCs w:val="22"/>
        </w:rPr>
        <w:t xml:space="preserve">The SC selection system: fully open candidacy, advisory expert assessment, and national direct election by Ranked Choice Vote. No political branch nominates anyone. The Registry is the eligibility filter, the Judicial Selection Board is the expert voice, and the electorate makes the final determination. The three-class stagger ensures no single election cycle can shift the entire court.</w:t>
      </w:r>
    </w:p>
    <w:p>
      <w:pPr>
        <w:spacing w:after="60" w:before="200"/>
        <w:ind w:left="863"/>
      </w:pPr>
      <w:r>
        <w:rPr>
          <w:rFonts w:ascii="Courier New" w:cs="Courier New" w:eastAsia="Courier New" w:hAnsi="Courier New"/>
          <w:b/>
          <w:bCs/>
          <w:color w:val="1B2A4A"/>
          <w:sz w:val="18"/>
          <w:szCs w:val="18"/>
        </w:rPr>
        <w:t xml:space="preserve">§4.2.a  </w:t>
      </w:r>
      <w:r>
        <w:rPr>
          <w:rFonts w:ascii="Garamond" w:cs="Garamond" w:eastAsia="Garamond" w:hAnsi="Garamond"/>
          <w:b/>
          <w:bCs/>
          <w:color w:val="1B2A4A"/>
          <w:sz w:val="22"/>
          <w:szCs w:val="22"/>
        </w:rPr>
        <w:t xml:space="preserve">Candidate Registration</w:t>
      </w:r>
    </w:p>
    <w:p>
      <w:pPr>
        <w:spacing w:after="120" w:before="0"/>
        <w:ind w:left="863"/>
        <w:jc w:val="both"/>
      </w:pPr>
      <w:r>
        <w:rPr>
          <w:rFonts w:ascii="Garamond" w:cs="Garamond" w:eastAsia="Garamond" w:hAnsi="Garamond"/>
          <w:color w:val="2a2520"/>
          <w:sz w:val="22"/>
          <w:szCs w:val="22"/>
        </w:rPr>
        <w:t xml:space="preserve">Candidate Registration — any citizen on the SC Candidate Registry (maintained by the JI under §8.4.e) may stand by filing a full disclosure record with the EI. The EI reviews within 14 days for factual accuracy — not to assess the quality of credentials. A candidate with a material inaccuracy is removed from the ballot; the EI publishes the grounds.</w:t>
      </w:r>
    </w:p>
    <w:p>
      <w:pPr>
        <w:spacing w:after="60" w:before="200"/>
        <w:ind w:left="863"/>
      </w:pPr>
      <w:r>
        <w:rPr>
          <w:rFonts w:ascii="Courier New" w:cs="Courier New" w:eastAsia="Courier New" w:hAnsi="Courier New"/>
          <w:b/>
          <w:bCs/>
          <w:color w:val="1B2A4A"/>
          <w:sz w:val="18"/>
          <w:szCs w:val="18"/>
        </w:rPr>
        <w:t xml:space="preserve">§4.2.b  </w:t>
      </w:r>
      <w:r>
        <w:rPr>
          <w:rFonts w:ascii="Garamond" w:cs="Garamond" w:eastAsia="Garamond" w:hAnsi="Garamond"/>
          <w:b/>
          <w:bCs/>
          <w:color w:val="1B2A4A"/>
          <w:sz w:val="22"/>
          <w:szCs w:val="22"/>
        </w:rPr>
        <w:t xml:space="preserve">Judicial Selection Board</w:t>
      </w:r>
    </w:p>
    <w:p>
      <w:pPr>
        <w:spacing w:after="120" w:before="0"/>
        <w:ind w:left="863"/>
        <w:jc w:val="both"/>
      </w:pPr>
      <w:r>
        <w:rPr>
          <w:rFonts w:ascii="Garamond" w:cs="Garamond" w:eastAsia="Garamond" w:hAnsi="Garamond"/>
          <w:color w:val="2a2520"/>
          <w:sz w:val="22"/>
          <w:szCs w:val="22"/>
        </w:rPr>
        <w:t xml:space="preserve">Judicial Selection Board — five senior judges (at least 10 years continuous service) chosen by lot by the JI from all eligible judges who are not themselves candidates. Advisory assessment of every candidate's judicial record, legal reasoning, and professional independence. Advisory only — no ballot access authority, no endorsement. Published no later than 60 days before the election.</w:t>
      </w:r>
    </w:p>
    <w:p>
      <w:pPr>
        <w:spacing w:after="60" w:before="200"/>
        <w:ind w:left="863"/>
      </w:pPr>
      <w:r>
        <w:rPr>
          <w:rFonts w:ascii="Courier New" w:cs="Courier New" w:eastAsia="Courier New" w:hAnsi="Courier New"/>
          <w:b/>
          <w:bCs/>
          <w:color w:val="1B2A4A"/>
          <w:sz w:val="18"/>
          <w:szCs w:val="18"/>
        </w:rPr>
        <w:t xml:space="preserve">§4.2.c  </w:t>
      </w:r>
      <w:r>
        <w:rPr>
          <w:rFonts w:ascii="Garamond" w:cs="Garamond" w:eastAsia="Garamond" w:hAnsi="Garamond"/>
          <w:b/>
          <w:bCs/>
          <w:color w:val="1B2A4A"/>
          <w:sz w:val="22"/>
          <w:szCs w:val="22"/>
        </w:rPr>
        <w:t xml:space="preserve">Judicial Inspectorate Certification</w:t>
      </w:r>
    </w:p>
    <w:p>
      <w:pPr>
        <w:spacing w:after="120" w:before="0"/>
        <w:ind w:left="863"/>
        <w:jc w:val="both"/>
      </w:pPr>
      <w:r>
        <w:rPr>
          <w:rFonts w:ascii="Garamond" w:cs="Garamond" w:eastAsia="Garamond" w:hAnsi="Garamond"/>
          <w:color w:val="2a2520"/>
          <w:sz w:val="22"/>
          <w:szCs w:val="22"/>
        </w:rPr>
        <w:t xml:space="preserve">JI Certification — the JI confirms that each candidate remains on the SC Candidate Registry and that no disqualifying change has occurred since Registry admission. Ministerial check, not a new assessment. Candidates who fail JI certification may appeal to an Appellate Court within 14 days.</w:t>
      </w:r>
    </w:p>
    <w:p>
      <w:pPr>
        <w:spacing w:after="60" w:before="200"/>
        <w:ind w:left="863"/>
      </w:pPr>
      <w:r>
        <w:rPr>
          <w:rFonts w:ascii="Courier New" w:cs="Courier New" w:eastAsia="Courier New" w:hAnsi="Courier New"/>
          <w:b/>
          <w:bCs/>
          <w:color w:val="1B2A4A"/>
          <w:sz w:val="18"/>
          <w:szCs w:val="18"/>
        </w:rPr>
        <w:t xml:space="preserve">§4.2.d  </w:t>
      </w:r>
      <w:r>
        <w:rPr>
          <w:rFonts w:ascii="Garamond" w:cs="Garamond" w:eastAsia="Garamond" w:hAnsi="Garamond"/>
          <w:b/>
          <w:bCs/>
          <w:color w:val="1B2A4A"/>
          <w:sz w:val="22"/>
          <w:szCs w:val="22"/>
        </w:rPr>
        <w:t xml:space="preserve">Public Election</w:t>
      </w:r>
    </w:p>
    <w:p>
      <w:pPr>
        <w:spacing w:after="120" w:before="0"/>
        <w:ind w:left="863"/>
        <w:jc w:val="both"/>
      </w:pPr>
      <w:r>
        <w:rPr>
          <w:rFonts w:ascii="Garamond" w:cs="Garamond" w:eastAsia="Garamond" w:hAnsi="Garamond"/>
          <w:color w:val="2a2520"/>
          <w:sz w:val="22"/>
          <w:szCs w:val="22"/>
        </w:rPr>
        <w:t xml:space="preserve">The Election — national RCV election administered by the Electoral Commission. All JI-certified candidates appear on the ballot. Winner achieves a national RCV majority. The EC certifies the result; the elected justice takes the Official Oath. Recorded on the NRS within 24 hours. From this moment, the justice serves a single non-renewable 12-year term.</w:t>
      </w:r>
    </w:p>
    <w:p>
      <w:pPr>
        <w:spacing w:after="60" w:before="200"/>
        <w:ind w:left="863"/>
      </w:pPr>
      <w:r>
        <w:rPr>
          <w:rFonts w:ascii="Courier New" w:cs="Courier New" w:eastAsia="Courier New" w:hAnsi="Courier New"/>
          <w:b/>
          <w:bCs/>
          <w:color w:val="1B2A4A"/>
          <w:sz w:val="18"/>
          <w:szCs w:val="18"/>
        </w:rPr>
        <w:t xml:space="preserve">§4.2.e  </w:t>
      </w:r>
      <w:r>
        <w:rPr>
          <w:rFonts w:ascii="Garamond" w:cs="Garamond" w:eastAsia="Garamond" w:hAnsi="Garamond"/>
          <w:b/>
          <w:bCs/>
          <w:color w:val="1B2A4A"/>
          <w:sz w:val="22"/>
          <w:szCs w:val="22"/>
        </w:rPr>
        <w:t xml:space="preserve">Mid-Term Vacancies</w:t>
      </w:r>
    </w:p>
    <w:p>
      <w:pPr>
        <w:spacing w:after="120" w:before="0"/>
        <w:ind w:left="863"/>
        <w:jc w:val="both"/>
      </w:pPr>
      <w:r>
        <w:rPr>
          <w:rFonts w:ascii="Garamond" w:cs="Garamond" w:eastAsia="Garamond" w:hAnsi="Garamond"/>
          <w:color w:val="2a2520"/>
          <w:sz w:val="22"/>
          <w:szCs w:val="22"/>
        </w:rPr>
        <w:t xml:space="preserve">Mid-Term Vacancies — any vacancy triggers a special election within 180 days. The full open-candidacy process applies with compressed timelines: registration Day 30, EI review Day 60, Board assessment Day 90, JI certification Day 120, election Day 180. The replacement serves only the remainder of the original 12-year term — not a new full term.</w:t>
      </w:r>
    </w:p>
    <w:p>
      <w:pPr>
        <w:spacing w:after="60" w:before="200"/>
        <w:ind w:left="863"/>
      </w:pPr>
      <w:r>
        <w:rPr>
          <w:rFonts w:ascii="Courier New" w:cs="Courier New" w:eastAsia="Courier New" w:hAnsi="Courier New"/>
          <w:b/>
          <w:bCs/>
          <w:color w:val="1B2A4A"/>
          <w:sz w:val="18"/>
          <w:szCs w:val="18"/>
        </w:rPr>
        <w:t xml:space="preserve">§4.2.f  </w:t>
      </w:r>
      <w:r>
        <w:rPr>
          <w:rFonts w:ascii="Garamond" w:cs="Garamond" w:eastAsia="Garamond" w:hAnsi="Garamond"/>
          <w:b/>
          <w:bCs/>
          <w:color w:val="1B2A4A"/>
          <w:sz w:val="22"/>
          <w:szCs w:val="22"/>
        </w:rPr>
        <w:t xml:space="preserve">Emergency Panel for Tier 1 Scope Challenges</w:t>
      </w:r>
    </w:p>
    <w:p>
      <w:pPr>
        <w:spacing w:after="120" w:before="0"/>
        <w:ind w:left="863"/>
        <w:jc w:val="both"/>
      </w:pPr>
      <w:r>
        <w:rPr>
          <w:rFonts w:ascii="Garamond" w:cs="Garamond" w:eastAsia="Garamond" w:hAnsi="Garamond"/>
          <w:color w:val="2a2520"/>
          <w:sz w:val="22"/>
          <w:szCs w:val="22"/>
        </w:rPr>
        <w:t xml:space="preserve">Emergency Panel — four justices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863"/>
      </w:pPr>
      <w:r>
        <w:rPr>
          <w:rFonts w:ascii="Courier New" w:cs="Courier New" w:eastAsia="Courier New" w:hAnsi="Courier New"/>
          <w:b/>
          <w:bCs/>
          <w:color w:val="1B2A4A"/>
          <w:sz w:val="18"/>
          <w:szCs w:val="18"/>
        </w:rPr>
        <w:t xml:space="preserve">§4.2.g  </w:t>
      </w:r>
      <w:r>
        <w:rPr>
          <w:rFonts w:ascii="Garamond" w:cs="Garamond" w:eastAsia="Garamond" w:hAnsi="Garamond"/>
          <w:b/>
          <w:bCs/>
          <w:color w:val="1B2A4A"/>
          <w:sz w:val="22"/>
          <w:szCs w:val="22"/>
        </w:rPr>
        <w:t xml:space="preserve">Vacancy Operating Rules</w:t>
      </w:r>
    </w:p>
    <w:p>
      <w:pPr>
        <w:spacing w:after="120" w:before="0"/>
        <w:ind w:left="863"/>
        <w:jc w:val="both"/>
      </w:pPr>
      <w:r>
        <w:rPr>
          <w:rFonts w:ascii="Garamond" w:cs="Garamond" w:eastAsia="Garamond" w:hAnsi="Garamond"/>
          <w:color w:val="2a2520"/>
          <w:sz w:val="22"/>
          <w:szCs w:val="22"/>
        </w:rPr>
        <w:t xml:space="preserve">Temporary Associate Justice — the most senior Appellate Court judge by continuous service is automatically designated as Temporary Associate Justice within 5 days of any SC vacancy, without nomination or confirmation. Full vote in all cases. Cannot stand as a candidate for the seat they are temporarily filling. Ensures the SC always has nine participating justices.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863"/>
      </w:pPr>
      <w:r>
        <w:rPr>
          <w:rFonts w:ascii="Courier New" w:cs="Courier New" w:eastAsia="Courier New" w:hAnsi="Courier New"/>
          <w:b/>
          <w:bCs/>
          <w:color w:val="1B2A4A"/>
          <w:sz w:val="18"/>
          <w:szCs w:val="18"/>
        </w:rPr>
        <w:t xml:space="preserve">§4.2.h  </w:t>
      </w:r>
      <w:r>
        <w:rPr>
          <w:rFonts w:ascii="Garamond" w:cs="Garamond" w:eastAsia="Garamond" w:hAnsi="Garamond"/>
          <w:b/>
          <w:bCs/>
          <w:color w:val="1B2A4A"/>
          <w:sz w:val="22"/>
          <w:szCs w:val="22"/>
        </w:rPr>
        <w:t xml:space="preserve">Judicial Recusal</w:t>
      </w:r>
    </w:p>
    <w:p>
      <w:pPr>
        <w:spacing w:after="120" w:before="0"/>
        <w:ind w:left="863"/>
        <w:jc w:val="both"/>
      </w:pPr>
      <w:r>
        <w:rPr>
          <w:rFonts w:ascii="Garamond" w:cs="Garamond" w:eastAsia="Garamond" w:hAnsi="Garamond"/>
          <w:color w:val="2a2520"/>
          <w:sz w:val="22"/>
          <w:szCs w:val="22"/>
        </w:rPr>
        <w:t xml:space="preserve">Class Assignment and Stagger — at Phase 3, all nine seats are filled simultaneously, then assigned to three classes by public lot drawn by the JI. Class A: 4-year initial term. Class B: 8-year initial term. Class C: 12-year initial term. All subsequent terms: 12 years. The lot assignment is published to the NRS before any justice takes the oath. Three seats elected every 4 years thereafter.</w:t>
      </w:r>
    </w:p>
    <w:p>
      <w:pPr>
        <w:spacing w:after="60" w:before="200"/>
        <w:ind w:left="863"/>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Concrete Cases Only</w:t>
      </w:r>
    </w:p>
    <w:p>
      <w:pPr>
        <w:spacing w:after="120" w:before="0"/>
        <w:ind w:left="863"/>
        <w:jc w:val="both"/>
      </w:pPr>
      <w:r>
        <w:rPr>
          <w:rFonts w:ascii="Garamond" w:cs="Garamond" w:eastAsia="Garamond" w:hAnsi="Garamond"/>
          <w:color w:val="2a2520"/>
          <w:sz w:val="22"/>
          <w:szCs w:val="22"/>
        </w:rPr>
        <w:t xml:space="preserve">Judicial Review — 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863"/>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Organizational Standing</w:t>
      </w:r>
    </w:p>
    <w:p>
      <w:pPr>
        <w:spacing w:after="120" w:before="0"/>
        <w:ind w:left="863"/>
        <w:jc w:val="both"/>
      </w:pPr>
      <w:r>
        <w:rPr>
          <w:rFonts w:ascii="Garamond" w:cs="Garamond" w:eastAsia="Garamond" w:hAnsi="Garamond"/>
          <w:color w:val="2a2520"/>
          <w:sz w:val="22"/>
          <w:szCs w:val="22"/>
        </w:rPr>
        <w:t xml:space="preserve">Judicial Scope — 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863"/>
      </w:pPr>
      <w:r>
        <w:rPr>
          <w:rFonts w:ascii="Courier New" w:cs="Courier New" w:eastAsia="Courier New" w:hAnsi="Courier New"/>
          <w:b/>
          <w:bCs/>
          <w:color w:val="1B2A4A"/>
          <w:sz w:val="18"/>
          <w:szCs w:val="18"/>
        </w:rPr>
        <w:t xml:space="preserve">§4.3.c  </w:t>
      </w:r>
      <w:r>
        <w:rPr>
          <w:rFonts w:ascii="Garamond" w:cs="Garamond" w:eastAsia="Garamond" w:hAnsi="Garamond"/>
          <w:b/>
          <w:bCs/>
          <w:color w:val="1B2A4A"/>
          <w:sz w:val="22"/>
          <w:szCs w:val="22"/>
        </w:rPr>
        <w:t xml:space="preserve">Ripeness and Mootness</w:t>
      </w:r>
    </w:p>
    <w:p>
      <w:pPr>
        <w:spacing w:after="120" w:before="0"/>
        <w:ind w:left="863"/>
        <w:jc w:val="both"/>
      </w:pPr>
      <w:r>
        <w:rPr>
          <w:rFonts w:ascii="Garamond" w:cs="Garamond" w:eastAsia="Garamond" w:hAnsi="Garamond"/>
          <w:color w:val="2a2520"/>
          <w:sz w:val="22"/>
          <w:szCs w:val="22"/>
        </w:rPr>
        <w:t xml:space="preserve">Administrative and Statutory Interpretation — 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863"/>
      </w:pPr>
      <w:r>
        <w:rPr>
          <w:rFonts w:ascii="Courier New" w:cs="Courier New" w:eastAsia="Courier New" w:hAnsi="Courier New"/>
          <w:b/>
          <w:bCs/>
          <w:color w:val="1B2A4A"/>
          <w:sz w:val="18"/>
          <w:szCs w:val="18"/>
        </w:rPr>
        <w:t xml:space="preserve">§4.3.d  </w:t>
      </w:r>
      <w:r>
        <w:rPr>
          <w:rFonts w:ascii="Garamond" w:cs="Garamond" w:eastAsia="Garamond" w:hAnsi="Garamond"/>
          <w:b/>
          <w:bCs/>
          <w:color w:val="1B2A4A"/>
          <w:sz w:val="22"/>
          <w:szCs w:val="22"/>
        </w:rPr>
        <w:t xml:space="preserve">Original Jurisdiction</w:t>
      </w:r>
    </w:p>
    <w:p>
      <w:pPr>
        <w:spacing w:after="120" w:before="0"/>
        <w:ind w:left="863"/>
        <w:jc w:val="both"/>
      </w:pPr>
      <w:r>
        <w:rPr>
          <w:rFonts w:ascii="Garamond" w:cs="Garamond" w:eastAsia="Garamond" w:hAnsi="Garamond"/>
          <w:color w:val="2a2520"/>
          <w:sz w:val="22"/>
          <w:szCs w:val="22"/>
        </w:rPr>
        <w:t xml:space="preserve">Original Jurisdiction — 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863"/>
      </w:pPr>
      <w:r>
        <w:rPr>
          <w:rFonts w:ascii="Courier New" w:cs="Courier New" w:eastAsia="Courier New" w:hAnsi="Courier New"/>
          <w:b/>
          <w:bCs/>
          <w:color w:val="1B2A4A"/>
          <w:sz w:val="18"/>
          <w:szCs w:val="18"/>
        </w:rPr>
        <w:t xml:space="preserve">§4.3.e  </w:t>
      </w:r>
      <w:r>
        <w:rPr>
          <w:rFonts w:ascii="Garamond" w:cs="Garamond" w:eastAsia="Garamond" w:hAnsi="Garamond"/>
          <w:b/>
          <w:bCs/>
          <w:color w:val="1B2A4A"/>
          <w:sz w:val="22"/>
          <w:szCs w:val="22"/>
        </w:rPr>
        <w:t xml:space="preserve">Inspectorate Findings in Constitutional Proceedings</w:t>
      </w:r>
    </w:p>
    <w:p>
      <w:pPr>
        <w:spacing w:after="120" w:before="0"/>
        <w:ind w:left="863"/>
        <w:jc w:val="both"/>
      </w:pPr>
      <w:r>
        <w:rPr>
          <w:rFonts w:ascii="Garamond" w:cs="Garamond" w:eastAsia="Garamond" w:hAnsi="Garamond"/>
          <w:color w:val="2a2520"/>
          <w:sz w:val="22"/>
          <w:szCs w:val="22"/>
        </w:rPr>
        <w:t xml:space="preserve">Inspectorate Findings — NRS findings published by the LI, EI, or JI are admissible as authoritative factual evidence in judicial proceedings. Courts must address any inconsistency between their factual findings and a prior Inspectorate finding in written decisions. Inspectorate findings are not judicial determinations — courts retain full authority to reach different factual conclusions — but must explain why.</w:t>
      </w:r>
    </w:p>
    <w:p>
      <w:pPr>
        <w:spacing w:after="60" w:before="200"/>
        <w:ind w:left="863"/>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Judicial Judgments</w:t>
      </w:r>
    </w:p>
    <w:p>
      <w:pPr>
        <w:spacing w:after="120" w:before="0"/>
        <w:ind w:left="863"/>
        <w:jc w:val="both"/>
      </w:pPr>
      <w:r>
        <w:rPr>
          <w:rFonts w:ascii="Garamond" w:cs="Garamond" w:eastAsia="Garamond" w:hAnsi="Garamond"/>
          <w:color w:val="2a2520"/>
          <w:sz w:val="22"/>
          <w:szCs w:val="22"/>
        </w:rPr>
        <w:t xml:space="preserve">Non-recognition grounds are exhaustive: the issuing court lacked jurisdiction; the judgment was obtained by fraud; enforcement would require an act the Legislature has defined as categorically unenforceable. A fourth ground — facially contrary to Article I — was removed as redundant. §15.6 Constitutional Supremacy already makes judgments contrary to Article I void by operation of law; enumerating it created interpretive surface area. The §15.6 cross-reference at the end of §4.4.a closes the gap cleanly.</w:t>
      </w:r>
    </w:p>
    <w:p>
      <w:pPr>
        <w:spacing w:after="60" w:before="200"/>
        <w:ind w:left="863"/>
      </w:pPr>
      <w:r>
        <w:rPr>
          <w:rFonts w:ascii="Courier New" w:cs="Courier New" w:eastAsia="Courier New" w:hAnsi="Courier New"/>
          <w:b/>
          <w:bCs/>
          <w:color w:val="1B2A4A"/>
          <w:sz w:val="18"/>
          <w:szCs w:val="18"/>
        </w:rPr>
        <w:t xml:space="preserve">§4.4.b  </w:t>
      </w:r>
      <w:r>
        <w:rPr>
          <w:rFonts w:ascii="Garamond" w:cs="Garamond" w:eastAsia="Garamond" w:hAnsi="Garamond"/>
          <w:b/>
          <w:bCs/>
          <w:color w:val="1B2A4A"/>
          <w:sz w:val="22"/>
          <w:szCs w:val="22"/>
        </w:rPr>
        <w:t xml:space="preserve">NRS Authentication</w:t>
      </w:r>
    </w:p>
    <w:p>
      <w:pPr>
        <w:spacing w:after="120" w:before="0"/>
        <w:ind w:left="863"/>
        <w:jc w:val="both"/>
      </w:pPr>
      <w:r>
        <w:rPr>
          <w:rFonts w:ascii="Garamond" w:cs="Garamond" w:eastAsia="Garamond" w:hAnsi="Garamond"/>
          <w:color w:val="2a2520"/>
          <w:sz w:val="22"/>
          <w:szCs w:val="22"/>
        </w:rPr>
        <w:t xml:space="preserve">NRS Authentication — 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863"/>
      </w:pPr>
      <w:r>
        <w:rPr>
          <w:rFonts w:ascii="Courier New" w:cs="Courier New" w:eastAsia="Courier New" w:hAnsi="Courier New"/>
          <w:b/>
          <w:bCs/>
          <w:color w:val="1B2A4A"/>
          <w:sz w:val="18"/>
          <w:szCs w:val="18"/>
        </w:rPr>
        <w:t xml:space="preserve">§4.4.c  </w:t>
      </w:r>
      <w:r>
        <w:rPr>
          <w:rFonts w:ascii="Garamond" w:cs="Garamond" w:eastAsia="Garamond" w:hAnsi="Garamond"/>
          <w:b/>
          <w:bCs/>
          <w:color w:val="1B2A4A"/>
          <w:sz w:val="22"/>
          <w:szCs w:val="22"/>
        </w:rPr>
        <w:t xml:space="preserve">Public Acts and Official Records</w:t>
      </w:r>
    </w:p>
    <w:p>
      <w:pPr>
        <w:spacing w:after="120" w:before="0"/>
        <w:ind w:left="863"/>
        <w:jc w:val="both"/>
      </w:pPr>
      <w:r>
        <w:rPr>
          <w:rFonts w:ascii="Garamond" w:cs="Garamond" w:eastAsia="Garamond" w:hAnsi="Garamond"/>
          <w:color w:val="2a2520"/>
          <w:sz w:val="22"/>
          <w:szCs w:val="22"/>
        </w:rPr>
        <w:t xml:space="preserve">Official records on the NRS are self-authenticating — no re-certification required. Professional licenses receive equivalent recognition across all States and Territories. The Legislature latitude language previously allowing the Legislature to define the "permissible scope" of supplementary requirements has been removed. §1.12 already prohibits state-specific professional licensing barriers; recognition is the constitutional default. §1.12 governs any departure from it. The two provisions working together are tighter than either separately.</w:t>
      </w:r>
    </w:p>
    <w:p>
      <w:pPr>
        <w:spacing w:after="60" w:before="200"/>
        <w:ind w:left="863"/>
      </w:pPr>
      <w:r>
        <w:rPr>
          <w:rFonts w:ascii="Courier New" w:cs="Courier New" w:eastAsia="Courier New" w:hAnsi="Courier New"/>
          <w:b/>
          <w:bCs/>
          <w:color w:val="1B2A4A"/>
          <w:sz w:val="18"/>
          <w:szCs w:val="18"/>
        </w:rPr>
        <w:t xml:space="preserve">§4.4.d  </w:t>
      </w:r>
      <w:r>
        <w:rPr>
          <w:rFonts w:ascii="Garamond" w:cs="Garamond" w:eastAsia="Garamond" w:hAnsi="Garamond"/>
          <w:b/>
          <w:bCs/>
          <w:color w:val="1B2A4A"/>
          <w:sz w:val="22"/>
          <w:szCs w:val="22"/>
        </w:rPr>
        <w:t xml:space="preserve">Status Orders — Special Protections</w:t>
      </w:r>
    </w:p>
    <w:p>
      <w:pPr>
        <w:spacing w:after="120" w:before="0"/>
        <w:ind w:left="863"/>
        <w:jc w:val="both"/>
      </w:pPr>
      <w:r>
        <w:rPr>
          <w:rFonts w:ascii="Garamond" w:cs="Garamond" w:eastAsia="Garamond" w:hAnsi="Garamond"/>
          <w:color w:val="2a2520"/>
          <w:sz w:val="22"/>
          <w:szCs w:val="22"/>
        </w:rPr>
        <w:t xml:space="preserve">Status Orders — protective orders, custody determinations, and other status orders take immediate effect in every State and Territory upon publication to the NRS. No waiting period, no local re-registration. Tested directly in Everywhere She Goes — a protective order followed the holder across State lines without any gap in protection.</w:t>
      </w:r>
    </w:p>
    <w:p>
      <w:pPr>
        <w:spacing w:after="60" w:before="200"/>
        <w:ind w:left="863"/>
      </w:pPr>
      <w:r>
        <w:rPr>
          <w:rFonts w:ascii="Courier New" w:cs="Courier New" w:eastAsia="Courier New" w:hAnsi="Courier New"/>
          <w:b/>
          <w:bCs/>
          <w:color w:val="1B2A4A"/>
          <w:sz w:val="18"/>
          <w:szCs w:val="18"/>
        </w:rPr>
        <w:t xml:space="preserve">§4.4.e  </w:t>
      </w:r>
      <w:r>
        <w:rPr>
          <w:rFonts w:ascii="Garamond" w:cs="Garamond" w:eastAsia="Garamond" w:hAnsi="Garamond"/>
          <w:b/>
          <w:bCs/>
          <w:color w:val="1B2A4A"/>
          <w:sz w:val="22"/>
          <w:szCs w:val="22"/>
        </w:rPr>
        <w:t xml:space="preserve">Limits — No Obligation Beyond Republic Borders</w:t>
      </w:r>
    </w:p>
    <w:p>
      <w:pPr>
        <w:spacing w:after="120" w:before="0"/>
        <w:ind w:left="863"/>
        <w:jc w:val="both"/>
      </w:pPr>
      <w:r>
        <w:rPr>
          <w:rFonts w:ascii="Garamond" w:cs="Garamond" w:eastAsia="Garamond" w:hAnsi="Garamond"/>
          <w:color w:val="2a2520"/>
          <w:sz w:val="22"/>
          <w:szCs w:val="22"/>
        </w:rPr>
        <w:t xml:space="preserve">Non-Discrimination in Recognition — 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863"/>
      </w:pPr>
      <w:r>
        <w:rPr>
          <w:rFonts w:ascii="Courier New" w:cs="Courier New" w:eastAsia="Courier New" w:hAnsi="Courier New"/>
          <w:b/>
          <w:bCs/>
          <w:color w:val="1B2A4A"/>
          <w:sz w:val="18"/>
          <w:szCs w:val="18"/>
        </w:rPr>
        <w:t xml:space="preserve">§4.4.f  </w:t>
      </w:r>
      <w:r>
        <w:rPr>
          <w:rFonts w:ascii="Garamond" w:cs="Garamond" w:eastAsia="Garamond" w:hAnsi="Garamond"/>
          <w:b/>
          <w:bCs/>
          <w:color w:val="1B2A4A"/>
          <w:sz w:val="22"/>
          <w:szCs w:val="22"/>
        </w:rPr>
        <w:t xml:space="preserve">Legislative Implementation Mandates</w:t>
      </w:r>
    </w:p>
    <w:p>
      <w:pPr>
        <w:spacing w:after="120" w:before="0"/>
        <w:ind w:left="863"/>
        <w:jc w:val="both"/>
      </w:pPr>
      <w:r>
        <w:rPr>
          <w:rFonts w:ascii="Garamond" w:cs="Garamond" w:eastAsia="Garamond" w:hAnsi="Garamond"/>
          <w:color w:val="2a2520"/>
          <w:sz w:val="22"/>
          <w:szCs w:val="22"/>
        </w:rPr>
        <w:t xml:space="preserve">Finality rule is now permanent rather than a default pending legislation. A judgment is final for §4.4.a purposes if it is not subject to an automatic stay under the issuing jurisdiction's procedural law, regardless of whether an appeal is pending. The Legislature may refine the finality standard for specific categories but cannot use pending-appeal status alone to block enforcement. The three-year statutory mandate for the Legislature to define finality and supplementary license requirements has been removed — finality is stated directly, and §1.12 governs licensing. The procedural framework mandate (filing forms, fee schedule, enforcement timeline) is retained.</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 — Citizenship and Naturalization</w:t>
      </w:r>
    </w:p>
    <w:p>
      <w:pPr>
        <w:spacing w:after="120"/>
      </w:pPr>
    </w:p>
    <w:p>
      <w:pPr>
        <w:spacing w:after="60" w:before="200"/>
        <w:ind w:left="863"/>
      </w:pPr>
      <w:r>
        <w:rPr>
          <w:rFonts w:ascii="Courier New" w:cs="Courier New" w:eastAsia="Courier New" w:hAnsi="Courier New"/>
          <w:b/>
          <w:bCs/>
          <w:color w:val="1B2A4A"/>
          <w:sz w:val="18"/>
          <w:szCs w:val="18"/>
        </w:rPr>
        <w:t xml:space="preserve">§5.1.a  </w:t>
      </w:r>
      <w:r>
        <w:rPr>
          <w:rFonts w:ascii="Garamond" w:cs="Garamond" w:eastAsia="Garamond" w:hAnsi="Garamond"/>
          <w:b/>
          <w:bCs/>
          <w:color w:val="1B2A4A"/>
          <w:sz w:val="22"/>
          <w:szCs w:val="22"/>
        </w:rPr>
        <w:t xml:space="preserve">Inherent Citizenship</w:t>
      </w:r>
    </w:p>
    <w:p>
      <w:pPr>
        <w:spacing w:after="120" w:before="0"/>
        <w:ind w:left="863"/>
        <w:jc w:val="both"/>
      </w:pPr>
      <w:r>
        <w:rPr>
          <w:rFonts w:ascii="Garamond" w:cs="Garamond" w:eastAsia="Garamond" w:hAnsi="Garamond"/>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1296"/>
      </w:pPr>
      <w:r>
        <w:rPr>
          <w:rFonts w:ascii="Courier New" w:cs="Courier New" w:eastAsia="Courier New" w:hAnsi="Courier New"/>
          <w:b/>
          <w:bCs/>
          <w:color w:val="1B2A4A"/>
          <w:sz w:val="18"/>
          <w:szCs w:val="18"/>
        </w:rPr>
        <w:t xml:space="preserve">§5.1.a.i  </w:t>
      </w:r>
      <w:r>
        <w:rPr>
          <w:rFonts w:ascii="Garamond" w:cs="Garamond" w:eastAsia="Garamond" w:hAnsi="Garamond"/>
          <w:b/>
          <w:bCs/>
          <w:color w:val="1B2A4A"/>
          <w:sz w:val="22"/>
          <w:szCs w:val="22"/>
        </w:rPr>
        <w:t xml:space="preserve">Statelessness Prevention</w:t>
      </w:r>
    </w:p>
    <w:p>
      <w:pPr>
        <w:spacing w:after="120" w:before="0"/>
        <w:ind w:left="1296"/>
        <w:jc w:val="both"/>
      </w:pPr>
      <w:r>
        <w:rPr>
          <w:rFonts w:ascii="Garamond" w:cs="Garamond" w:eastAsia="Garamond" w:hAnsi="Garamond"/>
          <w:color w:val="2a2520"/>
          <w:sz w:val="22"/>
          <w:szCs w:val="22"/>
        </w:rPr>
        <w:t xml:space="preserve">A child born on Republic territory to parents holding neither Citizen nor Legal Resident status is an Inhabitant from birth, with full Article I protections and BNF access.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863"/>
      </w:pPr>
      <w:r>
        <w:rPr>
          <w:rFonts w:ascii="Courier New" w:cs="Courier New" w:eastAsia="Courier New" w:hAnsi="Courier New"/>
          <w:b/>
          <w:bCs/>
          <w:color w:val="1B2A4A"/>
          <w:sz w:val="18"/>
          <w:szCs w:val="18"/>
        </w:rPr>
        <w:t xml:space="preserve">§5.1.b  </w:t>
      </w:r>
      <w:r>
        <w:rPr>
          <w:rFonts w:ascii="Garamond" w:cs="Garamond" w:eastAsia="Garamond" w:hAnsi="Garamond"/>
          <w:b/>
          <w:bCs/>
          <w:color w:val="1B2A4A"/>
          <w:sz w:val="22"/>
          <w:szCs w:val="22"/>
        </w:rPr>
        <w:t xml:space="preserve">Coming of Age</w:t>
      </w:r>
    </w:p>
    <w:p>
      <w:pPr>
        <w:spacing w:after="120" w:before="0"/>
        <w:ind w:left="863"/>
        <w:jc w:val="both"/>
      </w:pPr>
      <w:r>
        <w:rPr>
          <w:rFonts w:ascii="Garamond" w:cs="Garamond" w:eastAsia="Garamond" w:hAnsi="Garamond"/>
          <w:color w:val="2a2520"/>
          <w:sz w:val="22"/>
          <w:szCs w:val="22"/>
        </w:rPr>
        <w:t xml:space="preserve">Children of citizens are Inhabitants at birth with full Article I protections. Full citizenship rights — including the right to vote — activate at 18. The distinction between Inhabitant and Citizen status for citizen children prevents citizenship from being used to exempt children from local law.</w:t>
      </w:r>
    </w:p>
    <w:p>
      <w:pPr>
        <w:spacing w:after="60" w:before="200"/>
        <w:ind w:left="863"/>
      </w:pPr>
      <w:r>
        <w:rPr>
          <w:rFonts w:ascii="Courier New" w:cs="Courier New" w:eastAsia="Courier New" w:hAnsi="Courier New"/>
          <w:b/>
          <w:bCs/>
          <w:color w:val="1B2A4A"/>
          <w:sz w:val="18"/>
          <w:szCs w:val="18"/>
        </w:rPr>
        <w:t xml:space="preserve">§5.1.c  </w:t>
      </w:r>
      <w:r>
        <w:rPr>
          <w:rFonts w:ascii="Garamond" w:cs="Garamond" w:eastAsia="Garamond" w:hAnsi="Garamond"/>
          <w:b/>
          <w:bCs/>
          <w:color w:val="1B2A4A"/>
          <w:sz w:val="22"/>
          <w:szCs w:val="22"/>
        </w:rPr>
        <w:t xml:space="preserve">Naturalization</w:t>
      </w:r>
    </w:p>
    <w:p>
      <w:pPr>
        <w:spacing w:after="120" w:before="0"/>
        <w:ind w:left="863"/>
        <w:jc w:val="both"/>
      </w:pPr>
      <w:r>
        <w:rPr>
          <w:rFonts w:ascii="Garamond" w:cs="Garamond" w:eastAsia="Garamond" w:hAnsi="Garamond"/>
          <w:color w:val="2a2520"/>
          <w:sz w:val="22"/>
          <w:szCs w:val="22"/>
        </w:rPr>
        <w:t xml:space="preserve">A Legal Resident may earn citizenship after five continuous years of residency, passing the Constitutional Logic Test, and demonstrating a working knowledge of the Republic's official language. The CLT tests understanding of the Republic's constitutional structure of the Republic's constitutional structure — not cultural assimilation.</w:t>
      </w:r>
    </w:p>
    <w:p>
      <w:pPr>
        <w:spacing w:after="60" w:before="200"/>
        <w:ind w:left="863"/>
      </w:pPr>
      <w:r>
        <w:rPr>
          <w:rFonts w:ascii="Courier New" w:cs="Courier New" w:eastAsia="Courier New" w:hAnsi="Courier New"/>
          <w:b/>
          <w:bCs/>
          <w:color w:val="1B2A4A"/>
          <w:sz w:val="18"/>
          <w:szCs w:val="18"/>
        </w:rPr>
        <w:t xml:space="preserve">§5.1.d  </w:t>
      </w:r>
      <w:r>
        <w:rPr>
          <w:rFonts w:ascii="Garamond" w:cs="Garamond" w:eastAsia="Garamond" w:hAnsi="Garamond"/>
          <w:b/>
          <w:bCs/>
          <w:color w:val="1B2A4A"/>
          <w:sz w:val="22"/>
          <w:szCs w:val="22"/>
        </w:rPr>
        <w:t xml:space="preserve">National Service Path</w:t>
      </w:r>
    </w:p>
    <w:p>
      <w:pPr>
        <w:spacing w:after="120" w:before="0"/>
        <w:ind w:left="863"/>
        <w:jc w:val="both"/>
      </w:pPr>
      <w:r>
        <w:rPr>
          <w:rFonts w:ascii="Garamond" w:cs="Garamond" w:eastAsia="Garamond" w:hAnsi="Garamond"/>
          <w:color w:val="2a2520"/>
          <w:sz w:val="22"/>
          <w:szCs w:val="22"/>
        </w:rPr>
        <w:t xml:space="preserve">A Legal Resident may earn citizenship through honorable completion of military or national service — a service path that runs parallel to the residency path. Years of service are a legitimate basis for constitutional membership.</w:t>
      </w:r>
    </w:p>
    <w:p>
      <w:pPr>
        <w:spacing w:after="60" w:before="200"/>
        <w:ind w:left="863"/>
      </w:pPr>
      <w:r>
        <w:rPr>
          <w:rFonts w:ascii="Courier New" w:cs="Courier New" w:eastAsia="Courier New" w:hAnsi="Courier New"/>
          <w:b/>
          <w:bCs/>
          <w:color w:val="1B2A4A"/>
          <w:sz w:val="18"/>
          <w:szCs w:val="18"/>
        </w:rPr>
        <w:t xml:space="preserve">§5.1.e  </w:t>
      </w:r>
      <w:r>
        <w:rPr>
          <w:rFonts w:ascii="Garamond" w:cs="Garamond" w:eastAsia="Garamond" w:hAnsi="Garamond"/>
          <w:b/>
          <w:bCs/>
          <w:color w:val="1B2A4A"/>
          <w:sz w:val="22"/>
          <w:szCs w:val="22"/>
        </w:rPr>
        <w:t xml:space="preserve">Citizenship Irrevocability</w:t>
      </w:r>
    </w:p>
    <w:p>
      <w:pPr>
        <w:spacing w:after="120" w:before="0"/>
        <w:ind w:left="863"/>
        <w:jc w:val="both"/>
      </w:pPr>
      <w:r>
        <w:rPr>
          <w:rFonts w:ascii="Garamond" w:cs="Garamond" w:eastAsia="Garamond" w:hAnsi="Garamond"/>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863"/>
      </w:pPr>
      <w:r>
        <w:rPr>
          <w:rFonts w:ascii="Courier New" w:cs="Courier New" w:eastAsia="Courier New" w:hAnsi="Courier New"/>
          <w:b/>
          <w:bCs/>
          <w:color w:val="1B2A4A"/>
          <w:sz w:val="18"/>
          <w:szCs w:val="18"/>
        </w:rPr>
        <w:t xml:space="preserve">§5.1.f  </w:t>
      </w:r>
      <w:r>
        <w:rPr>
          <w:rFonts w:ascii="Garamond" w:cs="Garamond" w:eastAsia="Garamond" w:hAnsi="Garamond"/>
          <w:b/>
          <w:bCs/>
          <w:color w:val="1B2A4A"/>
          <w:sz w:val="22"/>
          <w:szCs w:val="22"/>
        </w:rPr>
        <w:t xml:space="preserve">Derivative Status</w:t>
      </w:r>
    </w:p>
    <w:p>
      <w:pPr>
        <w:spacing w:after="120" w:before="0"/>
        <w:ind w:left="863"/>
        <w:jc w:val="both"/>
      </w:pPr>
      <w:r>
        <w:rPr>
          <w:rFonts w:ascii="Garamond" w:cs="Garamond" w:eastAsia="Garamond" w:hAnsi="Garamond"/>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863"/>
      </w:pPr>
      <w:r>
        <w:rPr>
          <w:rFonts w:ascii="Courier New" w:cs="Courier New" w:eastAsia="Courier New" w:hAnsi="Courier New"/>
          <w:b/>
          <w:bCs/>
          <w:color w:val="1B2A4A"/>
          <w:sz w:val="18"/>
          <w:szCs w:val="18"/>
        </w:rPr>
        <w:t xml:space="preserve">§5.1.g  </w:t>
      </w:r>
      <w:r>
        <w:rPr>
          <w:rFonts w:ascii="Garamond" w:cs="Garamond" w:eastAsia="Garamond" w:hAnsi="Garamond"/>
          <w:b/>
          <w:bCs/>
          <w:color w:val="1B2A4A"/>
          <w:sz w:val="22"/>
          <w:szCs w:val="22"/>
        </w:rPr>
        <w:t xml:space="preserve">Accelerated Naturalization — Long-Term Pre-Ratification Residents</w:t>
      </w:r>
    </w:p>
    <w:p>
      <w:pPr>
        <w:spacing w:after="120" w:before="0"/>
        <w:ind w:left="863"/>
        <w:jc w:val="both"/>
      </w:pPr>
      <w:r>
        <w:rPr>
          <w:rFonts w:ascii="Garamond" w:cs="Garamond" w:eastAsia="Garamond" w:hAnsi="Garamond"/>
          <w:color w:val="2a2520"/>
          <w:sz w:val="22"/>
          <w:szCs w:val="22"/>
        </w:rPr>
        <w:t xml:space="preserve">Any person who resided continuously in the Republic's territory for 5+ years immediately before Day Zero but did not hold predecessor voting rights — including persons disenfranchised by laws subsequently nullified under §19.2 — may apply for citizenship through an accelerated process the Legislature must establish within one year of Phase 4. The process must waive the CLT requirement and complete within 90 days. This closes the gap created by §5.5.a's Grandfather Clause, which grants Day Zero citizenship to prior voters but leaves long-term residents who were denied voting rights by the predecessor government on the standard naturalization path — an inequity the accelerated process corrects.</w:t>
      </w:r>
    </w:p>
    <w:p>
      <w:pPr>
        <w:spacing w:after="60" w:before="200"/>
        <w:ind w:left="431"/>
      </w:pPr>
      <w:r>
        <w:rPr>
          <w:rFonts w:ascii="Courier New" w:cs="Courier New" w:eastAsia="Courier New" w:hAnsi="Courier New"/>
          <w:b/>
          <w:bCs/>
          <w:color w:val="1B2A4A"/>
          <w:sz w:val="18"/>
          <w:szCs w:val="18"/>
        </w:rPr>
        <w:t xml:space="preserve">§5.2  </w:t>
      </w:r>
      <w:r>
        <w:rPr>
          <w:rFonts w:ascii="Garamond" w:cs="Garamond" w:eastAsia="Garamond" w:hAnsi="Garamond"/>
          <w:b/>
          <w:bCs/>
          <w:color w:val="1B2A4A"/>
          <w:sz w:val="22"/>
          <w:szCs w:val="22"/>
        </w:rPr>
        <w:t xml:space="preserve">Legal Resident Rights</w:t>
      </w:r>
    </w:p>
    <w:p>
      <w:pPr>
        <w:spacing w:after="120" w:before="0"/>
        <w:ind w:left="431"/>
        <w:jc w:val="both"/>
      </w:pPr>
      <w:r>
        <w:rPr>
          <w:rFonts w:ascii="Garamond" w:cs="Garamond" w:eastAsia="Garamond" w:hAnsi="Garamond"/>
          <w:color w:val="2a2520"/>
          <w:sz w:val="22"/>
          <w:szCs w:val="22"/>
        </w:rPr>
        <w:t xml:space="preserve">Legal Residents hold a Residency Credential allowing them to work, enter contracts, own property, access BNF programs, and participate in local elections where the Legislature authorizes. They hold all Article I rights as Inhabitants. What they lack that citizens hold: federal voting rights and the right to stand for federal office.</w:t>
      </w:r>
    </w:p>
    <w:p>
      <w:pPr>
        <w:spacing w:after="60" w:before="200"/>
        <w:ind w:left="431"/>
      </w:pPr>
      <w:r>
        <w:rPr>
          <w:rFonts w:ascii="Courier New" w:cs="Courier New" w:eastAsia="Courier New" w:hAnsi="Courier New"/>
          <w:b/>
          <w:bCs/>
          <w:color w:val="1B2A4A"/>
          <w:sz w:val="18"/>
          <w:szCs w:val="18"/>
        </w:rPr>
        <w:t xml:space="preserve">§5.3  </w:t>
      </w:r>
      <w:r>
        <w:rPr>
          <w:rFonts w:ascii="Garamond" w:cs="Garamond" w:eastAsia="Garamond" w:hAnsi="Garamond"/>
          <w:b/>
          <w:bCs/>
          <w:color w:val="1B2A4A"/>
          <w:sz w:val="22"/>
          <w:szCs w:val="22"/>
        </w:rPr>
        <w:t xml:space="preserve">Custodial Care of Citizen Children</w:t>
      </w:r>
    </w:p>
    <w:p>
      <w:pPr>
        <w:spacing w:after="120" w:before="0"/>
        <w:ind w:left="431"/>
        <w:jc w:val="both"/>
      </w:pPr>
      <w:r>
        <w:rPr>
          <w:rFonts w:ascii="Garamond" w:cs="Garamond" w:eastAsia="Garamond" w:hAnsi="Garamond"/>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from their sole caregivers without providing for them.</w:t>
      </w:r>
    </w:p>
    <w:p>
      <w:pPr>
        <w:spacing w:after="60" w:before="200"/>
        <w:ind w:left="431"/>
      </w:pPr>
      <w:r>
        <w:rPr>
          <w:rFonts w:ascii="Courier New" w:cs="Courier New" w:eastAsia="Courier New" w:hAnsi="Courier New"/>
          <w:b/>
          <w:bCs/>
          <w:color w:val="1B2A4A"/>
          <w:sz w:val="18"/>
          <w:szCs w:val="18"/>
        </w:rPr>
        <w:t xml:space="preserve">§5.4  </w:t>
      </w:r>
      <w:r>
        <w:rPr>
          <w:rFonts w:ascii="Garamond" w:cs="Garamond" w:eastAsia="Garamond" w:hAnsi="Garamond"/>
          <w:b/>
          <w:bCs/>
          <w:color w:val="1B2A4A"/>
          <w:sz w:val="22"/>
          <w:szCs w:val="22"/>
        </w:rPr>
        <w:t xml:space="preserve">The Constitutional Logic Test</w:t>
      </w:r>
    </w:p>
    <w:p>
      <w:pPr>
        <w:spacing w:after="120" w:before="0"/>
        <w:ind w:left="431"/>
        <w:jc w:val="both"/>
      </w:pPr>
      <w:r>
        <w:rPr>
          <w:rFonts w:ascii="Garamond" w:cs="Garamond" w:eastAsia="Garamond" w:hAnsi="Garamond"/>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863"/>
      </w:pPr>
      <w:r>
        <w:rPr>
          <w:rFonts w:ascii="Courier New" w:cs="Courier New" w:eastAsia="Courier New" w:hAnsi="Courier New"/>
          <w:b/>
          <w:bCs/>
          <w:color w:val="1B2A4A"/>
          <w:sz w:val="18"/>
          <w:szCs w:val="18"/>
        </w:rPr>
        <w:t xml:space="preserve">§5.4.a  </w:t>
      </w:r>
      <w:r>
        <w:rPr>
          <w:rFonts w:ascii="Garamond" w:cs="Garamond" w:eastAsia="Garamond" w:hAnsi="Garamond"/>
          <w:b/>
          <w:bCs/>
          <w:color w:val="1B2A4A"/>
          <w:sz w:val="22"/>
          <w:szCs w:val="22"/>
        </w:rPr>
        <w:t xml:space="preserve">Senate Authority over the CLT Standard</w:t>
      </w:r>
    </w:p>
    <w:p>
      <w:pPr>
        <w:spacing w:after="120" w:before="0"/>
        <w:ind w:left="863"/>
        <w:jc w:val="both"/>
      </w:pPr>
      <w:r>
        <w:rPr>
          <w:rFonts w:ascii="Garamond" w:cs="Garamond" w:eastAsia="Garamond" w:hAnsi="Garamond"/>
          <w:color w:val="2a2520"/>
          <w:sz w:val="22"/>
          <w:szCs w:val="22"/>
        </w:rPr>
        <w:t xml:space="preserve">The constitutional floor is stated directly in §5.4: the test must assess knowledge sufficient to understand the structure, powers, limits, and rights established by this Constitution. Any statute reducing the CLT below this floor is void and any citizen may challenge it in court. The Senate sets the standard by statute — raising it by simple majority, lowering it by 2/3 supermajority. That asymmetry makes degradation structurally harder than improvement without requiring anyone to certify anything. The old certification mechanism — where the CLT Administrator could block a Senate statute from taking effect — has been removed. An elected body should not be subject to veto by an appointed administrator. The floor is enforced by courts on challenge, not by an appointed officer's pre-emptive certification. The legislature may create a §3.7 statutory independent administrator to oversee CLT administration if it chooses; the constitution does not require it. Where the CLT Administrator position is vacant, the Judicial Inspectorate administers the Constitutional Logic Test on an interim basis using the most recently published test version, until a new Administrator is confirmed by the Senate.</w:t>
      </w:r>
    </w:p>
    <w:p>
      <w:pPr>
        <w:spacing w:after="60" w:before="200"/>
        <w:ind w:left="863"/>
      </w:pPr>
      <w:r>
        <w:rPr>
          <w:rFonts w:ascii="Courier New" w:cs="Courier New" w:eastAsia="Courier New" w:hAnsi="Courier New"/>
          <w:b/>
          <w:bCs/>
          <w:color w:val="1B2A4A"/>
          <w:sz w:val="18"/>
          <w:szCs w:val="18"/>
        </w:rPr>
        <w:t xml:space="preserve">§5.4.b  </w:t>
      </w:r>
      <w:r>
        <w:rPr>
          <w:rFonts w:ascii="Garamond" w:cs="Garamond" w:eastAsia="Garamond" w:hAnsi="Garamond"/>
          <w:b/>
          <w:bCs/>
          <w:color w:val="1B2A4A"/>
          <w:sz w:val="22"/>
          <w:szCs w:val="22"/>
        </w:rPr>
        <w:t xml:space="preserve">CLT Administrator</w:t>
      </w:r>
    </w:p>
    <w:p>
      <w:pPr>
        <w:spacing w:after="120" w:before="0"/>
        <w:ind w:left="863"/>
        <w:jc w:val="both"/>
      </w:pPr>
      <w:r>
        <w:rPr>
          <w:rFonts w:ascii="Garamond" w:cs="Garamond" w:eastAsia="Garamond" w:hAnsi="Garamond"/>
          <w:color w:val="2a2520"/>
          <w:sz w:val="22"/>
          <w:szCs w:val="22"/>
        </w:rPr>
        <w:t xml:space="preserve">The Constitutional Logic Test is administered by a CLT Administrator nominated by the PM from a Candidate Register, confirmed by the Senate. Structural independence from partisan influence: the CLT process cannot be used to create barriers that track political outcomes.</w:t>
      </w:r>
    </w:p>
    <w:p>
      <w:pPr>
        <w:spacing w:after="60" w:before="200"/>
        <w:ind w:left="863"/>
      </w:pPr>
      <w:r>
        <w:rPr>
          <w:rFonts w:ascii="Courier New" w:cs="Courier New" w:eastAsia="Courier New" w:hAnsi="Courier New"/>
          <w:b/>
          <w:bCs/>
          <w:color w:val="1B2A4A"/>
          <w:sz w:val="18"/>
          <w:szCs w:val="18"/>
        </w:rPr>
        <w:t xml:space="preserve">§5.4.c  </w:t>
      </w:r>
      <w:r>
        <w:rPr>
          <w:rFonts w:ascii="Garamond" w:cs="Garamond" w:eastAsia="Garamond" w:hAnsi="Garamond"/>
          <w:b/>
          <w:bCs/>
          <w:color w:val="1B2A4A"/>
          <w:sz w:val="22"/>
          <w:szCs w:val="22"/>
        </w:rPr>
        <w:t xml:space="preserve">Status Quo Maintenance</w:t>
      </w:r>
    </w:p>
    <w:p>
      <w:pPr>
        <w:spacing w:after="120" w:before="0"/>
        <w:ind w:left="863"/>
        <w:jc w:val="both"/>
      </w:pPr>
      <w:r>
        <w:rPr>
          <w:rFonts w:ascii="Garamond" w:cs="Garamond" w:eastAsia="Garamond" w:hAnsi="Garamond"/>
          <w:color w:val="2a2520"/>
          <w:sz w:val="22"/>
          <w:szCs w:val="22"/>
        </w:rPr>
        <w:t xml:space="preserve">Senate deadlock on CLT standard changes keeps the existing version in force. Deadlock cannot be weaponized to eliminate the CLT or make it impossibly difficult — the existing test remains operative.</w:t>
      </w:r>
    </w:p>
    <w:p>
      <w:pPr>
        <w:spacing w:after="60" w:before="200"/>
        <w:ind w:left="863"/>
      </w:pPr>
      <w:r>
        <w:rPr>
          <w:rFonts w:ascii="Courier New" w:cs="Courier New" w:eastAsia="Courier New" w:hAnsi="Courier New"/>
          <w:b/>
          <w:bCs/>
          <w:color w:val="1B2A4A"/>
          <w:sz w:val="18"/>
          <w:szCs w:val="18"/>
        </w:rPr>
        <w:t xml:space="preserve">§5.5.a  </w:t>
      </w:r>
      <w:r>
        <w:rPr>
          <w:rFonts w:ascii="Garamond" w:cs="Garamond" w:eastAsia="Garamond" w:hAnsi="Garamond"/>
          <w:b/>
          <w:bCs/>
          <w:color w:val="1B2A4A"/>
          <w:sz w:val="22"/>
          <w:szCs w:val="22"/>
        </w:rPr>
        <w:t xml:space="preserve">Automatic Citizenship Grant</w:t>
      </w:r>
    </w:p>
    <w:p>
      <w:pPr>
        <w:spacing w:after="120" w:before="0"/>
        <w:ind w:left="863"/>
        <w:jc w:val="both"/>
      </w:pPr>
      <w:r>
        <w:rPr>
          <w:rFonts w:ascii="Garamond" w:cs="Garamond" w:eastAsia="Garamond" w:hAnsi="Garamond"/>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 — Immigration and Residency</w:t>
      </w:r>
    </w:p>
    <w:p>
      <w:pPr>
        <w:spacing w:after="120"/>
      </w:pPr>
    </w:p>
    <w:p>
      <w:pPr>
        <w:spacing w:after="60" w:before="200"/>
        <w:ind w:left="863"/>
      </w:pPr>
      <w:r>
        <w:rPr>
          <w:rFonts w:ascii="Courier New" w:cs="Courier New" w:eastAsia="Courier New" w:hAnsi="Courier New"/>
          <w:b/>
          <w:bCs/>
          <w:color w:val="1B2A4A"/>
          <w:sz w:val="18"/>
          <w:szCs w:val="18"/>
        </w:rPr>
        <w:t xml:space="preserve">§6.1.a  </w:t>
      </w:r>
      <w:r>
        <w:rPr>
          <w:rFonts w:ascii="Garamond" w:cs="Garamond" w:eastAsia="Garamond" w:hAnsi="Garamond"/>
          <w:b/>
          <w:bCs/>
          <w:color w:val="1B2A4A"/>
          <w:sz w:val="22"/>
          <w:szCs w:val="22"/>
        </w:rPr>
        <w:t xml:space="preserve">Gate 1 — State Sponsorship</w:t>
      </w:r>
    </w:p>
    <w:p>
      <w:pPr>
        <w:spacing w:after="120" w:before="0"/>
        <w:ind w:left="863"/>
        <w:jc w:val="both"/>
      </w:pPr>
      <w:r>
        <w:rPr>
          <w:rFonts w:ascii="Garamond" w:cs="Garamond" w:eastAsia="Garamond" w:hAnsi="Garamond"/>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431"/>
      </w:pPr>
      <w:r>
        <w:rPr>
          <w:rFonts w:ascii="Courier New" w:cs="Courier New" w:eastAsia="Courier New" w:hAnsi="Courier New"/>
          <w:b/>
          <w:bCs/>
          <w:color w:val="1B2A4A"/>
          <w:sz w:val="18"/>
          <w:szCs w:val="18"/>
        </w:rPr>
        <w:t xml:space="preserve">§6.1  </w:t>
      </w:r>
      <w:r>
        <w:rPr>
          <w:rFonts w:ascii="Garamond" w:cs="Garamond" w:eastAsia="Garamond" w:hAnsi="Garamond"/>
          <w:b/>
          <w:bCs/>
          <w:color w:val="1B2A4A"/>
          <w:sz w:val="22"/>
          <w:szCs w:val="22"/>
        </w:rPr>
        <w:t xml:space="preserve">The Dual-Gate System</w:t>
      </w:r>
    </w:p>
    <w:p>
      <w:pPr>
        <w:spacing w:after="120" w:before="0"/>
        <w:ind w:left="431"/>
        <w:jc w:val="both"/>
      </w:pPr>
      <w:r>
        <w:rPr>
          <w:rFonts w:ascii="Garamond" w:cs="Garamond" w:eastAsia="Garamond" w:hAnsi="Garamond"/>
          <w:color w:val="2a2520"/>
          <w:sz w:val="22"/>
          <w:szCs w:val="22"/>
        </w:rPr>
        <w:t xml:space="preserve">Every immigration application must clear two sequential gates: Gate 1 (state sponsorship) and Gate 2 (federal certification). The Legislature holds supreme authority over immigration — it sets the standards for both gates and may set aggregate limits on total applications processed in any period, provided limits are applied without §1.8 discrimination. Asylum proceedings under §6.4 are explicitly exempt from the Gate 1 requirement: the right to claim and have determined a §1.27 asylum claim exists independently of the dual-gate system and no state's refusal to sponsor can extinguish it. The dual-gate design balances state acceptance — states retain discretion over who they sponsor — against a federal floor that ensures constitutional standards apply uniformly to Gate 2.</w:t>
      </w:r>
    </w:p>
    <w:p>
      <w:pPr>
        <w:spacing w:after="60" w:before="200"/>
        <w:ind w:left="863"/>
      </w:pPr>
      <w:r>
        <w:rPr>
          <w:rFonts w:ascii="Courier New" w:cs="Courier New" w:eastAsia="Courier New" w:hAnsi="Courier New"/>
          <w:b/>
          <w:bCs/>
          <w:color w:val="1B2A4A"/>
          <w:sz w:val="18"/>
          <w:szCs w:val="18"/>
        </w:rPr>
        <w:t xml:space="preserve">§6.1.b  </w:t>
      </w:r>
      <w:r>
        <w:rPr>
          <w:rFonts w:ascii="Garamond" w:cs="Garamond" w:eastAsia="Garamond" w:hAnsi="Garamond"/>
          <w:b/>
          <w:bCs/>
          <w:color w:val="1B2A4A"/>
          <w:sz w:val="22"/>
          <w:szCs w:val="22"/>
        </w:rPr>
        <w:t xml:space="preserve">Gate 2 — Federal Certification</w:t>
      </w:r>
    </w:p>
    <w:p>
      <w:pPr>
        <w:spacing w:after="120" w:before="0"/>
        <w:ind w:left="863"/>
        <w:jc w:val="both"/>
      </w:pPr>
      <w:r>
        <w:rPr>
          <w:rFonts w:ascii="Garamond" w:cs="Garamond" w:eastAsia="Garamond" w:hAnsi="Garamond"/>
          <w:color w:val="2a2520"/>
          <w:sz w:val="22"/>
          <w:szCs w:val="22"/>
        </w:rPr>
        <w:t xml:space="preserve">Federal certification across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863"/>
      </w:pPr>
      <w:r>
        <w:rPr>
          <w:rFonts w:ascii="Courier New" w:cs="Courier New" w:eastAsia="Courier New" w:hAnsi="Courier New"/>
          <w:b/>
          <w:bCs/>
          <w:color w:val="1B2A4A"/>
          <w:sz w:val="18"/>
          <w:szCs w:val="18"/>
        </w:rPr>
        <w:t xml:space="preserve">§6.1.c  </w:t>
      </w:r>
      <w:r>
        <w:rPr>
          <w:rFonts w:ascii="Garamond" w:cs="Garamond" w:eastAsia="Garamond" w:hAnsi="Garamond"/>
          <w:b/>
          <w:bCs/>
          <w:color w:val="1B2A4A"/>
          <w:sz w:val="22"/>
          <w:szCs w:val="22"/>
        </w:rPr>
        <w:t xml:space="preserve">Presidential Role</w:t>
      </w:r>
    </w:p>
    <w:p>
      <w:pPr>
        <w:spacing w:after="120" w:before="0"/>
        <w:ind w:left="863"/>
        <w:jc w:val="both"/>
      </w:pPr>
      <w:r>
        <w:rPr>
          <w:rFonts w:ascii="Garamond" w:cs="Garamond" w:eastAsia="Garamond" w:hAnsi="Garamond"/>
          <w:color w:val="2a2520"/>
          <w:sz w:val="22"/>
          <w:szCs w:val="22"/>
        </w:rPr>
        <w:t xml:space="preserve">Once an applicant clears both gates, the President must ministerially issue residency credentials. The word 'ministerially' is deliberate — the President has no discretion to refuse or delay what the law requires. Presidential interference with credential issuance is constitutionally prohibited.</w:t>
      </w:r>
    </w:p>
    <w:p>
      <w:pPr>
        <w:spacing w:after="60" w:before="200"/>
        <w:ind w:left="863"/>
      </w:pPr>
      <w:r>
        <w:rPr>
          <w:rFonts w:ascii="Courier New" w:cs="Courier New" w:eastAsia="Courier New" w:hAnsi="Courier New"/>
          <w:b/>
          <w:bCs/>
          <w:color w:val="1B2A4A"/>
          <w:sz w:val="18"/>
          <w:szCs w:val="18"/>
        </w:rPr>
        <w:t xml:space="preserve">§6.1.d  </w:t>
      </w:r>
      <w:r>
        <w:rPr>
          <w:rFonts w:ascii="Garamond" w:cs="Garamond" w:eastAsia="Garamond" w:hAnsi="Garamond"/>
          <w:b/>
          <w:bCs/>
          <w:color w:val="1B2A4A"/>
          <w:sz w:val="22"/>
          <w:szCs w:val="22"/>
        </w:rPr>
        <w:t xml:space="preserve">Federal Sponsorship Category</w:t>
      </w:r>
    </w:p>
    <w:p>
      <w:pPr>
        <w:spacing w:after="120" w:before="0"/>
        <w:ind w:left="863"/>
        <w:jc w:val="both"/>
      </w:pPr>
      <w:r>
        <w:rPr>
          <w:rFonts w:ascii="Garamond" w:cs="Garamond" w:eastAsia="Garamond" w:hAnsi="Garamond"/>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Crucially: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pPr>
      <w:r>
        <w:rPr>
          <w:rFonts w:ascii="Courier New" w:cs="Courier New" w:eastAsia="Courier New" w:hAnsi="Courier New"/>
          <w:b/>
          <w:bCs/>
          <w:color w:val="1B2A4A"/>
          <w:sz w:val="18"/>
          <w:szCs w:val="18"/>
        </w:rPr>
        <w:t xml:space="preserve">§6.2  </w:t>
      </w:r>
      <w:r>
        <w:rPr>
          <w:rFonts w:ascii="Garamond" w:cs="Garamond" w:eastAsia="Garamond" w:hAnsi="Garamond"/>
          <w:b/>
          <w:bCs/>
          <w:color w:val="1B2A4A"/>
          <w:sz w:val="22"/>
          <w:szCs w:val="22"/>
        </w:rPr>
        <w:t xml:space="preserve">Enforcement and Removal</w:t>
      </w:r>
    </w:p>
    <w:p>
      <w:pPr>
        <w:spacing w:after="120" w:before="0"/>
        <w:ind w:left="431"/>
        <w:jc w:val="both"/>
      </w:pPr>
      <w:r>
        <w:rPr>
          <w:rFonts w:ascii="Garamond" w:cs="Garamond" w:eastAsia="Garamond" w:hAnsi="Garamond"/>
          <w:color w:val="2a2520"/>
          <w:sz w:val="22"/>
          <w:szCs w:val="22"/>
        </w:rPr>
        <w:t xml:space="preserve">Only the federal government may remove individuals from the Republic — States may not conduct deportations independently. This prevents States from developing parallel immigration enforcement regimes that could be used to target populations the State government dislikes regardless of federal law. Removal occurs only for violations of laws the Legislature has defined — executive detention without statutory basis is not removal, it is unlawful detention subject to habeas corpus. The federal monopoly on removal also ensures that immigration enforcement standards are uniform across States rather than varying by State political composition.</w:t>
      </w:r>
    </w:p>
    <w:p>
      <w:pPr>
        <w:spacing w:after="60" w:before="200"/>
        <w:ind w:left="431"/>
      </w:pPr>
      <w:r>
        <w:rPr>
          <w:rFonts w:ascii="Courier New" w:cs="Courier New" w:eastAsia="Courier New" w:hAnsi="Courier New"/>
          <w:b/>
          <w:bCs/>
          <w:color w:val="1B2A4A"/>
          <w:sz w:val="18"/>
          <w:szCs w:val="18"/>
        </w:rPr>
        <w:t xml:space="preserve">§6.3  </w:t>
      </w:r>
      <w:r>
        <w:rPr>
          <w:rFonts w:ascii="Garamond" w:cs="Garamond" w:eastAsia="Garamond" w:hAnsi="Garamond"/>
          <w:b/>
          <w:bCs/>
          <w:color w:val="1B2A4A"/>
          <w:sz w:val="22"/>
          <w:szCs w:val="22"/>
        </w:rPr>
        <w:t xml:space="preserve">Gate 2 Appeal Rights</w:t>
      </w:r>
    </w:p>
    <w:p>
      <w:pPr>
        <w:spacing w:after="120" w:before="0"/>
        <w:ind w:left="431"/>
        <w:jc w:val="both"/>
      </w:pPr>
      <w:r>
        <w:rPr>
          <w:rFonts w:ascii="Garamond" w:cs="Garamond" w:eastAsia="Garamond" w:hAnsi="Garamond"/>
          <w:color w:val="2a2520"/>
          <w:sz w:val="22"/>
          <w:szCs w:val="22"/>
        </w:rPr>
        <w:t xml:space="preserve">Gate 2 denials are judicially challengeable on three grounds: criterion outside the four certified categories; denial made on discriminatory grounds contrary to §1.8; or procedural violation affecting the outcome. Gate 1 denials — a state's decision not to sponsor — are not subject to federal review on the merits of the sponsorship decision. However, where an applicant believes a Gate 1 denial was made on §1.8 discriminatory grounds, they may bring a direct constitutional claim in any federal court, treated procedurally as a §6.3.a challenge. The court may order the state to reconsider free of discriminatory criteria; it may not compel the state to grant sponsorship. State discretion at Gate 1 is preserved; discriminatory exercise of that discretion is not.</w:t>
      </w:r>
    </w:p>
    <w:p>
      <w:pPr>
        <w:spacing w:after="60" w:before="200"/>
        <w:ind w:left="863"/>
      </w:pPr>
      <w:r>
        <w:rPr>
          <w:rFonts w:ascii="Courier New" w:cs="Courier New" w:eastAsia="Courier New" w:hAnsi="Courier New"/>
          <w:b/>
          <w:bCs/>
          <w:color w:val="1B2A4A"/>
          <w:sz w:val="18"/>
          <w:szCs w:val="18"/>
        </w:rPr>
        <w:t xml:space="preserve">§6.3.a  </w:t>
      </w:r>
      <w:r>
        <w:rPr>
          <w:rFonts w:ascii="Garamond" w:cs="Garamond" w:eastAsia="Garamond" w:hAnsi="Garamond"/>
          <w:b/>
          <w:bCs/>
          <w:color w:val="1B2A4A"/>
          <w:sz w:val="22"/>
          <w:szCs w:val="22"/>
        </w:rPr>
        <w:t xml:space="preserve">Judicial Challenge</w:t>
      </w:r>
    </w:p>
    <w:p>
      <w:pPr>
        <w:spacing w:after="120" w:before="0"/>
        <w:ind w:left="863"/>
        <w:jc w:val="both"/>
      </w:pPr>
      <w:r>
        <w:rPr>
          <w:rFonts w:ascii="Garamond" w:cs="Garamond" w:eastAsia="Garamond" w:hAnsi="Garamond"/>
          <w:color w:val="2a2520"/>
          <w:sz w:val="22"/>
          <w:szCs w:val="22"/>
        </w:rPr>
        <w:t xml:space="preserve">An applicant may challenge a Gate 2 denial on three grounds: criterion outside the four certified categories; discriminatory application; or procedurally deficient process. Three-ground limitation channels challenges rather than eliminating them.</w:t>
      </w:r>
    </w:p>
    <w:p>
      <w:pPr>
        <w:spacing w:after="60" w:before="200"/>
        <w:ind w:left="863"/>
      </w:pPr>
      <w:r>
        <w:rPr>
          <w:rFonts w:ascii="Courier New" w:cs="Courier New" w:eastAsia="Courier New" w:hAnsi="Courier New"/>
          <w:b/>
          <w:bCs/>
          <w:color w:val="1B2A4A"/>
          <w:sz w:val="18"/>
          <w:szCs w:val="18"/>
        </w:rPr>
        <w:t xml:space="preserve">§6.3.b  </w:t>
      </w:r>
      <w:r>
        <w:rPr>
          <w:rFonts w:ascii="Garamond" w:cs="Garamond" w:eastAsia="Garamond" w:hAnsi="Garamond"/>
          <w:b/>
          <w:bCs/>
          <w:color w:val="1B2A4A"/>
          <w:sz w:val="22"/>
          <w:szCs w:val="22"/>
        </w:rPr>
        <w:t xml:space="preserve">National Security Denials — In-Camera Review</w:t>
      </w:r>
    </w:p>
    <w:p>
      <w:pPr>
        <w:spacing w:after="120" w:before="0"/>
        <w:ind w:left="863"/>
        <w:jc w:val="both"/>
      </w:pPr>
      <w:r>
        <w:rPr>
          <w:rFonts w:ascii="Garamond" w:cs="Garamond" w:eastAsia="Garamond" w:hAnsi="Garamond"/>
          <w:color w:val="2a2520"/>
          <w:sz w:val="22"/>
          <w:szCs w:val="22"/>
        </w:rPr>
        <w:t xml:space="preserve">Where Gate 2 is denied on national security grounds, a reviewing court may examine the classified assessment in camera and determine whether it constitutes a credible, specific, and documented concern — without publishing classified content. The in-camera review is outcome-determinative: either the security concern meets the constitutional standard and the denial stands, or it does not and recertification is ordered. This closes the "security claim as absolute veto" pathway while protecting genuine intelligence sources and methods.</w:t>
      </w:r>
    </w:p>
    <w:p>
      <w:pPr>
        <w:spacing w:after="60" w:before="200"/>
        <w:ind w:left="431"/>
      </w:pPr>
      <w:r>
        <w:rPr>
          <w:rFonts w:ascii="Courier New" w:cs="Courier New" w:eastAsia="Courier New" w:hAnsi="Courier New"/>
          <w:b/>
          <w:bCs/>
          <w:color w:val="1B2A4A"/>
          <w:sz w:val="18"/>
          <w:szCs w:val="18"/>
        </w:rPr>
        <w:t xml:space="preserve">§6.4  </w:t>
      </w:r>
      <w:r>
        <w:rPr>
          <w:rFonts w:ascii="Garamond" w:cs="Garamond" w:eastAsia="Garamond" w:hAnsi="Garamond"/>
          <w:b/>
          <w:bCs/>
          <w:color w:val="1B2A4A"/>
          <w:sz w:val="22"/>
          <w:szCs w:val="22"/>
        </w:rPr>
        <w:t xml:space="preserve">Asylum and Protection</w:t>
      </w:r>
    </w:p>
    <w:p>
      <w:pPr>
        <w:spacing w:after="120" w:before="0"/>
        <w:ind w:left="431"/>
        <w:jc w:val="both"/>
      </w:pPr>
      <w:r>
        <w:rPr>
          <w:rFonts w:ascii="Garamond" w:cs="Garamond" w:eastAsia="Garamond" w:hAnsi="Garamond"/>
          <w:color w:val="2a2520"/>
          <w:sz w:val="22"/>
          <w:szCs w:val="22"/>
        </w:rPr>
        <w:t xml:space="preserve">Asylum proceedings operate on a separate constitutional track from the dual-gate immigration system. An asylum filer under §1.27 becomes an Inhabitant at filing — not upon grant. Their claim must be determined before any removal order takes effect. The asylum track is explicitly exempt from Gate 1 state sponsorship: no state's refusal to sponsor can extinguish a §1.27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863"/>
      </w:pPr>
      <w:r>
        <w:rPr>
          <w:rFonts w:ascii="Courier New" w:cs="Courier New" w:eastAsia="Courier New" w:hAnsi="Courier New"/>
          <w:b/>
          <w:bCs/>
          <w:color w:val="1B2A4A"/>
          <w:sz w:val="18"/>
          <w:szCs w:val="18"/>
        </w:rPr>
        <w:t xml:space="preserve">§6.4.a  </w:t>
      </w:r>
      <w:r>
        <w:rPr>
          <w:rFonts w:ascii="Garamond" w:cs="Garamond" w:eastAsia="Garamond" w:hAnsi="Garamond"/>
          <w:b/>
          <w:bCs/>
          <w:color w:val="1B2A4A"/>
          <w:sz w:val="22"/>
          <w:szCs w:val="22"/>
        </w:rPr>
        <w:t xml:space="preserve">Asylum Seekers as Inhabitants</w:t>
      </w:r>
    </w:p>
    <w:p>
      <w:pPr>
        <w:spacing w:after="120" w:before="0"/>
        <w:ind w:left="863"/>
        <w:jc w:val="both"/>
      </w:pPr>
      <w:r>
        <w:rPr>
          <w:rFonts w:ascii="Garamond" w:cs="Garamond" w:eastAsia="Garamond" w:hAnsi="Garamond"/>
          <w:color w:val="2a2520"/>
          <w:sz w:val="22"/>
          <w:szCs w:val="22"/>
        </w:rPr>
        <w:t xml:space="preserve">Any person who files an asylum claim under §1.27 is an Inhabitant of the Republic from the date of filing — immediately entitled to BNF coverage and all Article I protections. Protection-first: the determination process does not happen in a rights-free zone.</w:t>
      </w:r>
    </w:p>
    <w:p>
      <w:pPr>
        <w:spacing w:after="60" w:before="200"/>
        <w:ind w:left="863"/>
      </w:pPr>
      <w:r>
        <w:rPr>
          <w:rFonts w:ascii="Courier New" w:cs="Courier New" w:eastAsia="Courier New" w:hAnsi="Courier New"/>
          <w:b/>
          <w:bCs/>
          <w:color w:val="1B2A4A"/>
          <w:sz w:val="18"/>
          <w:szCs w:val="18"/>
        </w:rPr>
        <w:t xml:space="preserve">§6.4.b  </w:t>
      </w:r>
      <w:r>
        <w:rPr>
          <w:rFonts w:ascii="Garamond" w:cs="Garamond" w:eastAsia="Garamond" w:hAnsi="Garamond"/>
          <w:b/>
          <w:bCs/>
          <w:color w:val="1B2A4A"/>
          <w:sz w:val="22"/>
          <w:szCs w:val="22"/>
        </w:rPr>
        <w:t xml:space="preserve">Right to Determination and Protection During Proceedings</w:t>
      </w:r>
    </w:p>
    <w:p>
      <w:pPr>
        <w:spacing w:after="120" w:before="0"/>
        <w:ind w:left="863"/>
        <w:jc w:val="both"/>
      </w:pPr>
      <w:r>
        <w:rPr>
          <w:rFonts w:ascii="Garamond" w:cs="Garamond" w:eastAsia="Garamond" w:hAnsi="Garamond"/>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863"/>
      </w:pPr>
      <w:r>
        <w:rPr>
          <w:rFonts w:ascii="Courier New" w:cs="Courier New" w:eastAsia="Courier New" w:hAnsi="Courier New"/>
          <w:b/>
          <w:bCs/>
          <w:color w:val="1B2A4A"/>
          <w:sz w:val="18"/>
          <w:szCs w:val="18"/>
        </w:rPr>
        <w:t xml:space="preserve">§6.4.c  </w:t>
      </w:r>
      <w:r>
        <w:rPr>
          <w:rFonts w:ascii="Garamond" w:cs="Garamond" w:eastAsia="Garamond" w:hAnsi="Garamond"/>
          <w:b/>
          <w:bCs/>
          <w:color w:val="1B2A4A"/>
          <w:sz w:val="22"/>
          <w:szCs w:val="22"/>
        </w:rPr>
        <w:t xml:space="preserve">Asylum Court</w:t>
      </w:r>
    </w:p>
    <w:p>
      <w:pPr>
        <w:spacing w:after="120" w:before="0"/>
        <w:ind w:left="863"/>
        <w:jc w:val="both"/>
      </w:pPr>
      <w:r>
        <w:rPr>
          <w:rFonts w:ascii="Garamond" w:cs="Garamond" w:eastAsia="Garamond" w:hAnsi="Garamond"/>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863"/>
      </w:pPr>
      <w:r>
        <w:rPr>
          <w:rFonts w:ascii="Courier New" w:cs="Courier New" w:eastAsia="Courier New" w:hAnsi="Courier New"/>
          <w:b/>
          <w:bCs/>
          <w:color w:val="1B2A4A"/>
          <w:sz w:val="18"/>
          <w:szCs w:val="18"/>
        </w:rPr>
        <w:t xml:space="preserve">§6.4.d  </w:t>
      </w:r>
      <w:r>
        <w:rPr>
          <w:rFonts w:ascii="Garamond" w:cs="Garamond" w:eastAsia="Garamond" w:hAnsi="Garamond"/>
          <w:b/>
          <w:bCs/>
          <w:color w:val="1B2A4A"/>
          <w:sz w:val="22"/>
          <w:szCs w:val="22"/>
        </w:rPr>
        <w:t xml:space="preserve">Non-Penalization for Irregular Entry</w:t>
      </w:r>
    </w:p>
    <w:p>
      <w:pPr>
        <w:spacing w:after="120" w:before="0"/>
        <w:ind w:left="863"/>
        <w:jc w:val="both"/>
      </w:pPr>
      <w:r>
        <w:rPr>
          <w:rFonts w:ascii="Garamond" w:cs="Garamond" w:eastAsia="Garamond" w:hAnsi="Garamond"/>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863"/>
      </w:pPr>
      <w:r>
        <w:rPr>
          <w:rFonts w:ascii="Courier New" w:cs="Courier New" w:eastAsia="Courier New" w:hAnsi="Courier New"/>
          <w:b/>
          <w:bCs/>
          <w:color w:val="1B2A4A"/>
          <w:sz w:val="18"/>
          <w:szCs w:val="18"/>
        </w:rPr>
        <w:t xml:space="preserve">§6.4.e  </w:t>
      </w:r>
      <w:r>
        <w:rPr>
          <w:rFonts w:ascii="Garamond" w:cs="Garamond" w:eastAsia="Garamond" w:hAnsi="Garamond"/>
          <w:b/>
          <w:bCs/>
          <w:color w:val="1B2A4A"/>
          <w:sz w:val="22"/>
          <w:szCs w:val="22"/>
        </w:rPr>
        <w:t xml:space="preserve">Unexecutable Removal Orders</w:t>
      </w:r>
    </w:p>
    <w:p>
      <w:pPr>
        <w:spacing w:after="120" w:before="0"/>
        <w:ind w:left="863"/>
        <w:jc w:val="both"/>
      </w:pPr>
      <w:r>
        <w:rPr>
          <w:rFonts w:ascii="Garamond" w:cs="Garamond" w:eastAsia="Garamond" w:hAnsi="Garamond"/>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§1.27. The constitution does not allow indefinite stateless detention.</w:t>
      </w:r>
    </w:p>
    <w:p>
      <w:pPr>
        <w:spacing w:after="60" w:before="200"/>
        <w:ind w:left="863"/>
      </w:pPr>
      <w:r>
        <w:rPr>
          <w:rFonts w:ascii="Courier New" w:cs="Courier New" w:eastAsia="Courier New" w:hAnsi="Courier New"/>
          <w:b/>
          <w:bCs/>
          <w:color w:val="1B2A4A"/>
          <w:sz w:val="18"/>
          <w:szCs w:val="18"/>
        </w:rPr>
        <w:t xml:space="preserve">§6.4.f  </w:t>
      </w:r>
      <w:r>
        <w:rPr>
          <w:rFonts w:ascii="Garamond" w:cs="Garamond" w:eastAsia="Garamond" w:hAnsi="Garamond"/>
          <w:b/>
          <w:bCs/>
          <w:color w:val="1B2A4A"/>
          <w:sz w:val="22"/>
          <w:szCs w:val="22"/>
        </w:rPr>
        <w:t xml:space="preserve">Security and Criminal Protection Cases</w:t>
      </w:r>
    </w:p>
    <w:p>
      <w:pPr>
        <w:spacing w:after="120" w:before="0"/>
        <w:ind w:left="863"/>
        <w:jc w:val="both"/>
      </w:pPr>
      <w:r>
        <w:rPr>
          <w:rFonts w:ascii="Garamond" w:cs="Garamond" w:eastAsia="Garamond" w:hAnsi="Garamond"/>
          <w:color w:val="2a2520"/>
          <w:sz w:val="22"/>
          <w:szCs w:val="22"/>
        </w:rPr>
        <w:t xml:space="preserve">Where the Asylum Court grants §1.27 protection to a person who poses a documented security threat, removal remains constitutionally barred — but indefinite unreviewed detention is not constitutionally available. The Legislature must establish a framework with regular judicial review. 'Indefinite unreviewed detention is not a constitutionally available outcome' — one of the clearest lines in the document. Where removal is barred under §1.27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863"/>
      </w:pPr>
      <w:r>
        <w:rPr>
          <w:rFonts w:ascii="Courier New" w:cs="Courier New" w:eastAsia="Courier New" w:hAnsi="Courier New"/>
          <w:b/>
          <w:bCs/>
          <w:color w:val="1B2A4A"/>
          <w:sz w:val="18"/>
          <w:szCs w:val="18"/>
        </w:rPr>
        <w:t xml:space="preserve">§6.4.g  </w:t>
      </w:r>
      <w:r>
        <w:rPr>
          <w:rFonts w:ascii="Garamond" w:cs="Garamond" w:eastAsia="Garamond" w:hAnsi="Garamond"/>
          <w:b/>
          <w:bCs/>
          <w:color w:val="1B2A4A"/>
          <w:sz w:val="22"/>
          <w:szCs w:val="22"/>
        </w:rPr>
        <w:t xml:space="preserve">Territory Accessibility</w:t>
      </w:r>
    </w:p>
    <w:p>
      <w:pPr>
        <w:spacing w:after="120" w:before="0"/>
        <w:ind w:left="863"/>
        <w:jc w:val="both"/>
      </w:pPr>
      <w:r>
        <w:rPr>
          <w:rFonts w:ascii="Garamond" w:cs="Garamond" w:eastAsia="Garamond" w:hAnsi="Garamond"/>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863"/>
      </w:pPr>
      <w:r>
        <w:rPr>
          <w:rFonts w:ascii="Courier New" w:cs="Courier New" w:eastAsia="Courier New" w:hAnsi="Courier New"/>
          <w:b/>
          <w:bCs/>
          <w:color w:val="1B2A4A"/>
          <w:sz w:val="18"/>
          <w:szCs w:val="18"/>
        </w:rPr>
        <w:t xml:space="preserve">§6.4.h  </w:t>
      </w:r>
      <w:r>
        <w:rPr>
          <w:rFonts w:ascii="Garamond" w:cs="Garamond" w:eastAsia="Garamond" w:hAnsi="Garamond"/>
          <w:b/>
          <w:bCs/>
          <w:color w:val="1B2A4A"/>
          <w:sz w:val="22"/>
          <w:szCs w:val="22"/>
        </w:rPr>
        <w:t xml:space="preserve">Unaccompanied Minors</w:t>
      </w:r>
    </w:p>
    <w:p>
      <w:pPr>
        <w:spacing w:after="120" w:before="0"/>
        <w:ind w:left="863"/>
        <w:jc w:val="both"/>
      </w:pPr>
      <w:r>
        <w:rPr>
          <w:rFonts w:ascii="Garamond" w:cs="Garamond" w:eastAsia="Garamond" w:hAnsi="Garamond"/>
          <w:color w:val="2a2520"/>
          <w:sz w:val="22"/>
          <w:szCs w:val="22"/>
        </w:rPr>
        <w:t xml:space="preserve">An unaccompanied minor arriving in the Republic or presenting to Republic authorities is an Inhabitant from the moment of contact and holds full §1.27 protection. A federal legal guardian must be appointed within 24 hours. No unaccompanied minor may be detained in a facility not specifically designated and resourced for children.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VII — Presidential Elections</w:t>
      </w:r>
    </w:p>
    <w:p>
      <w:pPr>
        <w:spacing w:after="120"/>
      </w:pPr>
    </w:p>
    <w:p>
      <w:pPr>
        <w:spacing w:after="60" w:before="200"/>
        <w:ind w:left="431"/>
      </w:pPr>
      <w:r>
        <w:rPr>
          <w:rFonts w:ascii="Courier New" w:cs="Courier New" w:eastAsia="Courier New" w:hAnsi="Courier New"/>
          <w:b/>
          <w:bCs/>
          <w:color w:val="1B2A4A"/>
          <w:sz w:val="18"/>
          <w:szCs w:val="18"/>
        </w:rPr>
        <w:t xml:space="preserve">§7.1  </w:t>
      </w:r>
      <w:r>
        <w:rPr>
          <w:rFonts w:ascii="Garamond" w:cs="Garamond" w:eastAsia="Garamond" w:hAnsi="Garamond"/>
          <w:b/>
          <w:bCs/>
          <w:color w:val="1B2A4A"/>
          <w:sz w:val="22"/>
          <w:szCs w:val="22"/>
        </w:rPr>
        <w:t xml:space="preserve">Standard Elections — Ranked Choice</w:t>
      </w:r>
    </w:p>
    <w:p>
      <w:pPr>
        <w:spacing w:after="120" w:before="0"/>
        <w:ind w:left="431"/>
        <w:jc w:val="both"/>
      </w:pPr>
      <w:r>
        <w:rPr>
          <w:rFonts w:ascii="Garamond" w:cs="Garamond" w:eastAsia="Garamond" w:hAnsi="Garamond"/>
          <w:color w:val="2a2520"/>
          <w:sz w:val="22"/>
          <w:szCs w:val="22"/>
        </w:rPr>
        <w:t xml:space="preserve">All federal elections on National Election Day, every two years. All elections for House, Senate, SC, and Electoral Commission seats use Ranked Choice Voting — majority required, not plurality. No federal elections outside National Election Day except special elections for vacancies. This concentrates democratic attention and ensures all federal officers have genuine majority mandates.</w:t>
      </w:r>
    </w:p>
    <w:p>
      <w:pPr>
        <w:spacing w:after="60" w:before="200"/>
        <w:ind w:left="863"/>
      </w:pPr>
      <w:r>
        <w:rPr>
          <w:rFonts w:ascii="Courier New" w:cs="Courier New" w:eastAsia="Courier New" w:hAnsi="Courier New"/>
          <w:b/>
          <w:bCs/>
          <w:color w:val="1B2A4A"/>
          <w:sz w:val="18"/>
          <w:szCs w:val="18"/>
        </w:rPr>
        <w:t xml:space="preserve">§7.2.a  </w:t>
      </w:r>
      <w:r>
        <w:rPr>
          <w:rFonts w:ascii="Garamond" w:cs="Garamond" w:eastAsia="Garamond" w:hAnsi="Garamond"/>
          <w:b/>
          <w:bCs/>
          <w:color w:val="1B2A4A"/>
          <w:sz w:val="22"/>
          <w:szCs w:val="22"/>
        </w:rPr>
        <w:t xml:space="preserve">National Ranked-Choice Vote</w:t>
      </w:r>
    </w:p>
    <w:p>
      <w:pPr>
        <w:spacing w:after="120" w:before="0"/>
        <w:ind w:left="863"/>
        <w:jc w:val="both"/>
      </w:pPr>
      <w:r>
        <w:rPr>
          <w:rFonts w:ascii="Garamond" w:cs="Garamond" w:eastAsia="Garamond" w:hAnsi="Garamond"/>
          <w:color w:val="2a2520"/>
          <w:sz w:val="22"/>
          <w:szCs w:val="22"/>
        </w:rPr>
        <w:t xml:space="preserve">Presidential elections use RCV nationally, preventing the geographic distortions of district-based winner-take-all systems. Votes transfer until one candidate holds a majority of active ballots nationwide. The national RCV tends to produce presidents who are the genuine second or third choice of a larger electorate — a broader mandate than first-preference plurality. This mechanism interacts with the regional combined score (§7.2.b–c): a candidate must achieve both a national majority and broad geographic distribution, preventing a president elected entirely by densely populated regional concentrations from claiming a national mandate.</w:t>
      </w:r>
    </w:p>
    <w:p>
      <w:pPr>
        <w:spacing w:after="60" w:before="200"/>
        <w:ind w:left="863"/>
      </w:pPr>
      <w:r>
        <w:rPr>
          <w:rFonts w:ascii="Courier New" w:cs="Courier New" w:eastAsia="Courier New" w:hAnsi="Courier New"/>
          <w:b/>
          <w:bCs/>
          <w:color w:val="1B2A4A"/>
          <w:sz w:val="18"/>
          <w:szCs w:val="18"/>
        </w:rPr>
        <w:t xml:space="preserve">§7.2.b  </w:t>
      </w:r>
      <w:r>
        <w:rPr>
          <w:rFonts w:ascii="Garamond" w:cs="Garamond" w:eastAsia="Garamond" w:hAnsi="Garamond"/>
          <w:b/>
          <w:bCs/>
          <w:color w:val="1B2A4A"/>
          <w:sz w:val="22"/>
          <w:szCs w:val="22"/>
        </w:rPr>
        <w:t xml:space="preserve">The Combined Score</w:t>
      </w:r>
    </w:p>
    <w:p>
      <w:pPr>
        <w:spacing w:after="120" w:before="0"/>
        <w:ind w:left="863"/>
        <w:jc w:val="both"/>
      </w:pPr>
      <w:r>
        <w:rPr>
          <w:rFonts w:ascii="Garamond" w:cs="Garamond" w:eastAsia="Garamond" w:hAnsi="Garamond"/>
          <w:color w:val="2a2520"/>
          <w:sz w:val="22"/>
          <w:szCs w:val="22"/>
        </w:rPr>
        <w:t xml:space="preserve">Where no candidate achieves a national RCV majority, the combined score mechanism favors the candidate with the broadest geographic distribution of support. A candidate who wins large margins in a few populous regions but has near-zero support elsewhere represents a fundamentally different governing coalition than a candidate with narrower leads distributed across all regions. The combined score is the constitution's structural requirement that the President represent the full polity — not merely its most concentrated population centers. This mechanism prevents the national RCV from being won by geographic concentration alone.</w:t>
      </w:r>
    </w:p>
    <w:p>
      <w:pPr>
        <w:spacing w:after="60" w:before="200"/>
        <w:ind w:left="863"/>
      </w:pPr>
      <w:r>
        <w:rPr>
          <w:rFonts w:ascii="Courier New" w:cs="Courier New" w:eastAsia="Courier New" w:hAnsi="Courier New"/>
          <w:b/>
          <w:bCs/>
          <w:color w:val="1B2A4A"/>
          <w:sz w:val="18"/>
          <w:szCs w:val="18"/>
        </w:rPr>
        <w:t xml:space="preserve">§7.2.c  </w:t>
      </w:r>
      <w:r>
        <w:rPr>
          <w:rFonts w:ascii="Garamond" w:cs="Garamond" w:eastAsia="Garamond" w:hAnsi="Garamond"/>
          <w:b/>
          <w:bCs/>
          <w:color w:val="1B2A4A"/>
          <w:sz w:val="22"/>
          <w:szCs w:val="22"/>
        </w:rPr>
        <w:t xml:space="preserve">Presidential Election Regions</w:t>
      </w:r>
    </w:p>
    <w:p>
      <w:pPr>
        <w:spacing w:after="120" w:before="0"/>
        <w:ind w:left="863"/>
        <w:jc w:val="both"/>
      </w:pPr>
      <w:r>
        <w:rPr>
          <w:rFonts w:ascii="Garamond" w:cs="Garamond" w:eastAsia="Garamond" w:hAnsi="Garamond"/>
          <w:color w:val="2a2520"/>
          <w:sz w:val="22"/>
          <w:szCs w:val="22"/>
        </w:rPr>
        <w:t xml:space="preserve">Presidential election regions provide the geographic breadth component of the combined score, ensuring that a winning candidate builds support across the Republic's geographic spread rather than only its population centres. The number of regions is defined by the Legislature by statute. Regions are drawn by the Regional Boundary Commission — a body constituted by lottery from State-maintained candidate pools — under the same criteria hierarchy that governs House redistricting. The Electoral Commission administers the election within the regions; it plays no role in drawing them.</w:t>
      </w:r>
    </w:p>
    <w:p>
      <w:pPr>
        <w:spacing w:after="60" w:before="200"/>
        <w:ind w:left="1296"/>
      </w:pPr>
      <w:r>
        <w:rPr>
          <w:rFonts w:ascii="Courier New" w:cs="Courier New" w:eastAsia="Courier New" w:hAnsi="Courier New"/>
          <w:b/>
          <w:bCs/>
          <w:color w:val="1B2A4A"/>
          <w:sz w:val="18"/>
          <w:szCs w:val="18"/>
        </w:rPr>
        <w:t xml:space="preserve">§7.2.c.i  </w:t>
      </w:r>
      <w:r>
        <w:rPr>
          <w:rFonts w:ascii="Garamond" w:cs="Garamond" w:eastAsia="Garamond" w:hAnsi="Garamond"/>
          <w:b/>
          <w:bCs/>
          <w:color w:val="1B2A4A"/>
          <w:sz w:val="22"/>
          <w:szCs w:val="22"/>
        </w:rPr>
        <w:t xml:space="preserve">State Candidate Pools</w:t>
      </w:r>
    </w:p>
    <w:p>
      <w:pPr>
        <w:spacing w:after="120" w:before="0"/>
        <w:ind w:left="1296"/>
        <w:jc w:val="both"/>
      </w:pPr>
      <w:r>
        <w:rPr>
          <w:rFonts w:ascii="Garamond" w:cs="Garamond" w:eastAsia="Garamond" w:hAnsi="Garamond"/>
          <w:color w:val="2a2520"/>
          <w:sz w:val="22"/>
          <w:szCs w:val="22"/>
        </w:rPr>
        <w:t xml:space="preserve">Each State maintains a standing Regional Boundary Pool for each redistricting cycle. Any person may be placed into a State's Pool through the State's own constitutional or statutory process, provided they meet three eligibility requirements at the time of entry: at least five continuous years of Republic citizenship; at least five continuous years of residency in the State whose Pool they are entering; and no current elected office. The LI certifies eligibility before entry — ministerially, not selectively. States determine through their own process how candidates are nominated from among those eligible. An entrant who takes elected office after entering the Pool is ineligible to be drawn for so long as they hold that office; if drawn while in elected office, the JI draws a replacement from the same State's eligible Pool. The LI maintains each State's Pool as a public record on the NRS. No State infrastructure is required — States need only submit names to the LI for certification and pay their drawn representative during commission service.</w:t>
      </w:r>
    </w:p>
    <w:p>
      <w:pPr>
        <w:spacing w:after="60" w:before="200"/>
        <w:ind w:left="1296"/>
      </w:pPr>
      <w:r>
        <w:rPr>
          <w:rFonts w:ascii="Courier New" w:cs="Courier New" w:eastAsia="Courier New" w:hAnsi="Courier New"/>
          <w:b/>
          <w:bCs/>
          <w:color w:val="1B2A4A"/>
          <w:sz w:val="18"/>
          <w:szCs w:val="18"/>
        </w:rPr>
        <w:t xml:space="preserve">§7.2.c.ii  </w:t>
      </w:r>
      <w:r>
        <w:rPr>
          <w:rFonts w:ascii="Garamond" w:cs="Garamond" w:eastAsia="Garamond" w:hAnsi="Garamond"/>
          <w:b/>
          <w:bCs/>
          <w:color w:val="1B2A4A"/>
          <w:sz w:val="22"/>
          <w:szCs w:val="22"/>
        </w:rPr>
        <w:t xml:space="preserve">Annual Addition Cap</w:t>
      </w:r>
    </w:p>
    <w:p>
      <w:pPr>
        <w:spacing w:after="120" w:before="0"/>
        <w:ind w:left="1296"/>
        <w:jc w:val="both"/>
      </w:pPr>
      <w:r>
        <w:rPr>
          <w:rFonts w:ascii="Garamond" w:cs="Garamond" w:eastAsia="Garamond" w:hAnsi="Garamond"/>
          <w:color w:val="2a2520"/>
          <w:sz w:val="22"/>
          <w:szCs w:val="22"/>
        </w:rPr>
        <w:t xml:space="preserve">Each State may add no more than five entrants to its Pool per calendar year during the pool-building period. Unused addition slots do not carry forward; a year with fewer than five additions simply has fewer, and unused capacity is permanently lost. If a pool member dies, becomes permanently incapacitated, or declines to remain in the Pool, their position is extinguished and is not replaced. No additional entry may compensate for attrition. The Pool at any draw consists exactly of those entrants added in prior years who remain eligible.</w:t>
      </w:r>
    </w:p>
    <w:p>
      <w:pPr>
        <w:spacing w:after="60" w:before="200"/>
        <w:ind w:left="1296"/>
      </w:pPr>
      <w:r>
        <w:rPr>
          <w:rFonts w:ascii="Courier New" w:cs="Courier New" w:eastAsia="Courier New" w:hAnsi="Courier New"/>
          <w:b/>
          <w:bCs/>
          <w:color w:val="1B2A4A"/>
          <w:sz w:val="18"/>
          <w:szCs w:val="18"/>
        </w:rPr>
        <w:t xml:space="preserve">§7.2.c.iii  </w:t>
      </w:r>
      <w:r>
        <w:rPr>
          <w:rFonts w:ascii="Garamond" w:cs="Garamond" w:eastAsia="Garamond" w:hAnsi="Garamond"/>
          <w:b/>
          <w:bCs/>
          <w:color w:val="1B2A4A"/>
          <w:sz w:val="22"/>
          <w:szCs w:val="22"/>
        </w:rPr>
        <w:t xml:space="preserve">Pool Health Monitoring</w:t>
      </w:r>
    </w:p>
    <w:p>
      <w:pPr>
        <w:spacing w:after="120" w:before="0"/>
        <w:ind w:left="1296"/>
        <w:jc w:val="both"/>
      </w:pPr>
      <w:r>
        <w:rPr>
          <w:rFonts w:ascii="Garamond" w:cs="Garamond" w:eastAsia="Garamond" w:hAnsi="Garamond"/>
          <w:color w:val="2a2520"/>
          <w:sz w:val="22"/>
          <w:szCs w:val="22"/>
        </w:rPr>
        <w:t xml:space="preserve">The LI monitors each State's Pool and publishes an annual Pool Status Report to the NRS. If any State's Pool falls below five eligible entrants, the LI publishes a Pool Health Notice — advisory, not compulsory. If a State's Pool is entirely empty at the time of the draw, that State's commission seat is vacant for that cycle. A State with a non-empty but small Pool proceeds to the draw from whatever eligible entrants it has.</w:t>
      </w:r>
    </w:p>
    <w:p>
      <w:pPr>
        <w:spacing w:after="60" w:before="200"/>
        <w:ind w:left="1296"/>
      </w:pPr>
      <w:r>
        <w:rPr>
          <w:rFonts w:ascii="Courier New" w:cs="Courier New" w:eastAsia="Courier New" w:hAnsi="Courier New"/>
          <w:b/>
          <w:bCs/>
          <w:color w:val="1B2A4A"/>
          <w:sz w:val="18"/>
          <w:szCs w:val="18"/>
        </w:rPr>
        <w:t xml:space="preserve">§7.2.c.iv  </w:t>
      </w:r>
      <w:r>
        <w:rPr>
          <w:rFonts w:ascii="Garamond" w:cs="Garamond" w:eastAsia="Garamond" w:hAnsi="Garamond"/>
          <w:b/>
          <w:bCs/>
          <w:color w:val="1B2A4A"/>
          <w:sz w:val="22"/>
          <w:szCs w:val="22"/>
        </w:rPr>
        <w:t xml:space="preserve">Commission Constitution</w:t>
      </w:r>
    </w:p>
    <w:p>
      <w:pPr>
        <w:spacing w:after="120" w:before="0"/>
        <w:ind w:left="1296"/>
        <w:jc w:val="both"/>
      </w:pPr>
      <w:r>
        <w:rPr>
          <w:rFonts w:ascii="Garamond" w:cs="Garamond" w:eastAsia="Garamond" w:hAnsi="Garamond"/>
          <w:color w:val="2a2520"/>
          <w:sz w:val="22"/>
          <w:szCs w:val="22"/>
        </w:rPr>
        <w:t xml:space="preserve">Following each decennial census, the JI constitutes the Regional Boundary Commission by public lottery, drawing one name by lot from each State's eligible Pool. The draw is held in a single public session, witnessed by a representative of each Inspectorate and three citizens selected by jury protocols, and certified jointly by all three Inspectorates in session. The session may be conducted remotely under parameters set by statute; remote participation does not affect the validity of the draw or the certification. The full draw is recorded to the NRS in real time. The commission is one member per State. No substitution or political appointment may replace a drawn member; replacements due to death, incapacitating illness, or disqualifying conflict of interest are drawn from the same State's eligible Pool by the same lottery procedure.</w:t>
      </w:r>
    </w:p>
    <w:p>
      <w:pPr>
        <w:spacing w:after="60" w:before="200"/>
        <w:ind w:left="1296"/>
      </w:pPr>
      <w:r>
        <w:rPr>
          <w:rFonts w:ascii="Courier New" w:cs="Courier New" w:eastAsia="Courier New" w:hAnsi="Courier New"/>
          <w:b/>
          <w:bCs/>
          <w:color w:val="1B2A4A"/>
          <w:sz w:val="18"/>
          <w:szCs w:val="18"/>
        </w:rPr>
        <w:t xml:space="preserve">§7.2.c.ix  </w:t>
      </w:r>
      <w:r>
        <w:rPr>
          <w:rFonts w:ascii="Garamond" w:cs="Garamond" w:eastAsia="Garamond" w:hAnsi="Garamond"/>
          <w:b/>
          <w:bCs/>
          <w:color w:val="1B2A4A"/>
          <w:sz w:val="22"/>
          <w:szCs w:val="22"/>
        </w:rPr>
        <w:t xml:space="preserve">Judicial Review</w:t>
      </w:r>
    </w:p>
    <w:p>
      <w:pPr>
        <w:spacing w:after="120" w:before="0"/>
        <w:ind w:left="1296"/>
        <w:jc w:val="both"/>
      </w:pPr>
      <w:r>
        <w:rPr>
          <w:rFonts w:ascii="Garamond" w:cs="Garamond" w:eastAsia="Garamond" w:hAnsi="Garamond"/>
          <w:color w:val="2a2520"/>
          <w:sz w:val="22"/>
          <w:szCs w:val="22"/>
        </w:rPr>
        <w:t xml:space="preserve">Any citizen, State government, or parliamentary minority of one-third may challenge a certified regional map by petitioning the Supreme Court within 60 days of LI certification. The Court reviews criteria application — not map preference. A successful challenge returns the map to the commission with the Court's findings attached.</w:t>
      </w:r>
    </w:p>
    <w:p>
      <w:pPr>
        <w:spacing w:after="60" w:before="200"/>
        <w:ind w:left="1296"/>
      </w:pPr>
      <w:r>
        <w:rPr>
          <w:rFonts w:ascii="Courier New" w:cs="Courier New" w:eastAsia="Courier New" w:hAnsi="Courier New"/>
          <w:b/>
          <w:bCs/>
          <w:color w:val="1B2A4A"/>
          <w:sz w:val="18"/>
          <w:szCs w:val="18"/>
        </w:rPr>
        <w:t xml:space="preserve">§7.2.c.v  </w:t>
      </w:r>
      <w:r>
        <w:rPr>
          <w:rFonts w:ascii="Garamond" w:cs="Garamond" w:eastAsia="Garamond" w:hAnsi="Garamond"/>
          <w:b/>
          <w:bCs/>
          <w:color w:val="1B2A4A"/>
          <w:sz w:val="22"/>
          <w:szCs w:val="22"/>
        </w:rPr>
        <w:t xml:space="preserve">Commission Compensation</w:t>
      </w:r>
    </w:p>
    <w:p>
      <w:pPr>
        <w:spacing w:after="120" w:before="0"/>
        <w:ind w:left="1296"/>
        <w:jc w:val="both"/>
      </w:pPr>
      <w:r>
        <w:rPr>
          <w:rFonts w:ascii="Garamond" w:cs="Garamond" w:eastAsia="Garamond" w:hAnsi="Garamond"/>
          <w:color w:val="2a2520"/>
          <w:sz w:val="22"/>
          <w:szCs w:val="22"/>
        </w:rPr>
        <w:t xml:space="preserve">Commission members are compensated by their State for days in active session only. Service on the commission is temporary and session-based; no retainer, salary, or ongoing compensation is provided outside of active session days. The federal government reimburses each State for session compensation paid to its commission member. Reimbursement rates and procedures are established by statute. The identity of each drawn commission member and their days in session are published to the NRS.</w:t>
      </w:r>
    </w:p>
    <w:p>
      <w:pPr>
        <w:spacing w:after="60" w:before="200"/>
        <w:ind w:left="1296"/>
      </w:pPr>
      <w:r>
        <w:rPr>
          <w:rFonts w:ascii="Courier New" w:cs="Courier New" w:eastAsia="Courier New" w:hAnsi="Courier New"/>
          <w:b/>
          <w:bCs/>
          <w:color w:val="1B2A4A"/>
          <w:sz w:val="18"/>
          <w:szCs w:val="18"/>
        </w:rPr>
        <w:t xml:space="preserve">§7.2.c.vi  </w:t>
      </w:r>
      <w:r>
        <w:rPr>
          <w:rFonts w:ascii="Garamond" w:cs="Garamond" w:eastAsia="Garamond" w:hAnsi="Garamond"/>
          <w:b/>
          <w:bCs/>
          <w:color w:val="1B2A4A"/>
          <w:sz w:val="22"/>
          <w:szCs w:val="22"/>
        </w:rPr>
        <w:t xml:space="preserve">Drawing Criteria</w:t>
      </w:r>
    </w:p>
    <w:p>
      <w:pPr>
        <w:spacing w:after="120" w:before="0"/>
        <w:ind w:left="1296"/>
        <w:jc w:val="both"/>
      </w:pPr>
      <w:r>
        <w:rPr>
          <w:rFonts w:ascii="Garamond" w:cs="Garamond" w:eastAsia="Garamond" w:hAnsi="Garamond"/>
          <w:color w:val="2a2520"/>
          <w:sz w:val="22"/>
          <w:szCs w:val="22"/>
        </w:rPr>
        <w:t xml:space="preserve">Regional boundaries must meet the following criteria in order of precedence: (1) Population balance — broadly equal citizen population within a Legislature-defined tolerance. (2) Geographic contiguity — each region must be a single contiguous territory. (3) Non-discrimination — no region may dilute the voting power of any group protected under §1.8. (4) Reasonable compactness — no geometrically incoherent shapes. (5) State integrity — follow State lines where practicable; minimize inter-State subdivisions where subdivision is required. The commission may not consider partisan affiliation, voting history, or political geography. All deliberations, working maps, and proposals must be published to the NRS throughout the process.</w:t>
      </w:r>
    </w:p>
    <w:p>
      <w:pPr>
        <w:spacing w:after="60" w:before="200"/>
        <w:ind w:left="1296"/>
      </w:pPr>
      <w:r>
        <w:rPr>
          <w:rFonts w:ascii="Courier New" w:cs="Courier New" w:eastAsia="Courier New" w:hAnsi="Courier New"/>
          <w:b/>
          <w:bCs/>
          <w:color w:val="1B2A4A"/>
          <w:sz w:val="18"/>
          <w:szCs w:val="18"/>
        </w:rPr>
        <w:t xml:space="preserve">§7.2.c.vii  </w:t>
      </w:r>
      <w:r>
        <w:rPr>
          <w:rFonts w:ascii="Garamond" w:cs="Garamond" w:eastAsia="Garamond" w:hAnsi="Garamond"/>
          <w:b/>
          <w:bCs/>
          <w:color w:val="1B2A4A"/>
          <w:sz w:val="22"/>
          <w:szCs w:val="22"/>
        </w:rPr>
        <w:t xml:space="preserve">Drawing Process and Timeline</w:t>
      </w:r>
    </w:p>
    <w:p>
      <w:pPr>
        <w:spacing w:after="120" w:before="0"/>
        <w:ind w:left="1296"/>
        <w:jc w:val="both"/>
      </w:pPr>
      <w:r>
        <w:rPr>
          <w:rFonts w:ascii="Garamond" w:cs="Garamond" w:eastAsia="Garamond" w:hAnsi="Garamond"/>
          <w:color w:val="2a2520"/>
          <w:sz w:val="22"/>
          <w:szCs w:val="22"/>
        </w:rPr>
        <w:t xml:space="preserve">The commission must submit a proposed regional map to the LI within 180 days of constitution. The commission operates by simple majority vote. A 30-day public comment period opens when the draft map is published to the NRS; any citizen or State government may submit commentary, and the commission must publish a written response before submitting the final map. The Legislature sets by statute the parameters under which the commission conducts its working sessions, including: authorization of and requirements for remote participation; quorum and voting requirements; secure platform and data access specifications; and any other operational parameters. The Legislature may not set parameters that prevent effective deliberation or impose undue burden on members. The commission remains constituted until a final map is certified through the review and challenge processes in §7.2.c.viii and §7.2.c.ix, then dissolves.</w:t>
      </w:r>
    </w:p>
    <w:p>
      <w:pPr>
        <w:spacing w:after="60" w:before="200"/>
        <w:ind w:left="1296"/>
      </w:pPr>
      <w:r>
        <w:rPr>
          <w:rFonts w:ascii="Courier New" w:cs="Courier New" w:eastAsia="Courier New" w:hAnsi="Courier New"/>
          <w:b/>
          <w:bCs/>
          <w:color w:val="1B2A4A"/>
          <w:sz w:val="18"/>
          <w:szCs w:val="18"/>
        </w:rPr>
        <w:t xml:space="preserve">§7.2.c.viii  </w:t>
      </w:r>
      <w:r>
        <w:rPr>
          <w:rFonts w:ascii="Garamond" w:cs="Garamond" w:eastAsia="Garamond" w:hAnsi="Garamond"/>
          <w:b/>
          <w:bCs/>
          <w:color w:val="1B2A4A"/>
          <w:sz w:val="22"/>
          <w:szCs w:val="22"/>
        </w:rPr>
        <w:t xml:space="preserve">LI Compliance Review</w:t>
      </w:r>
    </w:p>
    <w:p>
      <w:pPr>
        <w:spacing w:after="120" w:before="0"/>
        <w:ind w:left="1296"/>
        <w:jc w:val="both"/>
      </w:pPr>
      <w:r>
        <w:rPr>
          <w:rFonts w:ascii="Garamond" w:cs="Garamond" w:eastAsia="Garamond" w:hAnsi="Garamond"/>
          <w:color w:val="2a2520"/>
          <w:sz w:val="22"/>
          <w:szCs w:val="22"/>
        </w:rPr>
        <w:t xml:space="preserve">The LI reviews the submitted map within 60 days for compliance with the §7.2.c.vi criteria. If compliant, the LI certifies it and publishes the certification to the NRS. If the map fails, the LI publishes specific findings and returns it to the commission, which has 30 days to submit a corrected map. If the corrected map still fails, the LI draws a compliant interim map; the interim map governs the next presidential election while the commission completes a further correction cycle. The LI may not draw a permanent map.</w:t>
      </w:r>
    </w:p>
    <w:p>
      <w:pPr>
        <w:spacing w:after="60" w:before="200"/>
        <w:ind w:left="1296"/>
      </w:pPr>
      <w:r>
        <w:rPr>
          <w:rFonts w:ascii="Courier New" w:cs="Courier New" w:eastAsia="Courier New" w:hAnsi="Courier New"/>
          <w:b/>
          <w:bCs/>
          <w:color w:val="1B2A4A"/>
          <w:sz w:val="18"/>
          <w:szCs w:val="18"/>
        </w:rPr>
        <w:t xml:space="preserve">§7.2.c.x  </w:t>
      </w:r>
      <w:r>
        <w:rPr>
          <w:rFonts w:ascii="Garamond" w:cs="Garamond" w:eastAsia="Garamond" w:hAnsi="Garamond"/>
          <w:b/>
          <w:bCs/>
          <w:color w:val="1B2A4A"/>
          <w:sz w:val="22"/>
          <w:szCs w:val="22"/>
        </w:rPr>
        <w:t xml:space="preserve">Cycle and Timing</w:t>
      </w:r>
    </w:p>
    <w:p>
      <w:pPr>
        <w:spacing w:after="120" w:before="0"/>
        <w:ind w:left="1296"/>
        <w:jc w:val="both"/>
      </w:pPr>
      <w:r>
        <w:rPr>
          <w:rFonts w:ascii="Garamond" w:cs="Garamond" w:eastAsia="Garamond" w:hAnsi="Garamond"/>
          <w:color w:val="2a2520"/>
          <w:sz w:val="22"/>
          <w:szCs w:val="22"/>
        </w:rPr>
        <w:t xml:space="preserve">Regional boundaries are redrawn following each decennial census, on the same cycle as House redistricting; the §8.1.a census triggers both simultaneously. Regions in effect at the time of any presidential election govern that election. No mid-cycle redraw may occur except pursuant to §7.2.c.ix or §7.2.c.viii. The Legislature establishes by statute the precise timing of the pool-building window — when each State's Pool opens following completion of the prior redistricting cycle, and when it closes before the draw. Once established, the statutory timing may not be altered for a minimum of two complete redistricting cycles, preventing legislative manipulation of the pool-building window to affect a forthcoming draw.</w:t>
      </w:r>
    </w:p>
    <w:p>
      <w:pPr>
        <w:spacing w:after="60" w:before="200"/>
        <w:ind w:left="863"/>
      </w:pPr>
      <w:r>
        <w:rPr>
          <w:rFonts w:ascii="Courier New" w:cs="Courier New" w:eastAsia="Courier New" w:hAnsi="Courier New"/>
          <w:b/>
          <w:bCs/>
          <w:color w:val="1B2A4A"/>
          <w:sz w:val="18"/>
          <w:szCs w:val="18"/>
        </w:rPr>
        <w:t xml:space="preserve">§7.2.d  </w:t>
      </w:r>
      <w:r>
        <w:rPr>
          <w:rFonts w:ascii="Garamond" w:cs="Garamond" w:eastAsia="Garamond" w:hAnsi="Garamond"/>
          <w:b/>
          <w:bCs/>
          <w:color w:val="1B2A4A"/>
          <w:sz w:val="22"/>
          <w:szCs w:val="22"/>
        </w:rPr>
        <w:t xml:space="preserve">Territory Presidential Voting</w:t>
      </w:r>
    </w:p>
    <w:p>
      <w:pPr>
        <w:spacing w:after="120" w:before="0"/>
        <w:ind w:left="863"/>
        <w:jc w:val="both"/>
      </w:pPr>
      <w:r>
        <w:rPr>
          <w:rFonts w:ascii="Garamond" w:cs="Garamond" w:eastAsia="Garamond" w:hAnsi="Garamond"/>
          <w:color w:val="2a2520"/>
          <w:sz w:val="22"/>
          <w:szCs w:val="22"/>
        </w:rPr>
        <w:t xml:space="preserve">Territory citizens hold the full §1.19 right to vote in presidential elections. Their votes count in the national first-preference total — the 65% component of the combined score — but Territories are not assigned to presidential election regions and do not contribute to the 35% regional breadth component. The regional breadth measure reflects the geographic distribution of the Republic's State structure. Territory citizens participate fully in the national democratic mandate; they do not give Territories a footprint in the regional component that States earn through the Statehood process.</w:t>
      </w:r>
    </w:p>
    <w:p>
      <w:pPr>
        <w:spacing w:after="60" w:before="200"/>
        <w:ind w:left="863"/>
      </w:pPr>
      <w:r>
        <w:rPr>
          <w:rFonts w:ascii="Courier New" w:cs="Courier New" w:eastAsia="Courier New" w:hAnsi="Courier New"/>
          <w:b/>
          <w:bCs/>
          <w:color w:val="1B2A4A"/>
          <w:sz w:val="18"/>
          <w:szCs w:val="18"/>
        </w:rPr>
        <w:t xml:space="preserve">§7.2.e  </w:t>
      </w:r>
      <w:r>
        <w:rPr>
          <w:rFonts w:ascii="Garamond" w:cs="Garamond" w:eastAsia="Garamond" w:hAnsi="Garamond"/>
          <w:b/>
          <w:bCs/>
          <w:color w:val="1B2A4A"/>
          <w:sz w:val="22"/>
          <w:szCs w:val="22"/>
        </w:rPr>
        <w:t xml:space="preserve">Election Certification</w:t>
      </w:r>
    </w:p>
    <w:p>
      <w:pPr>
        <w:spacing w:after="120" w:before="0"/>
        <w:ind w:left="863"/>
        <w:jc w:val="both"/>
      </w:pPr>
      <w:r>
        <w:rPr>
          <w:rFonts w:ascii="Garamond" w:cs="Garamond" w:eastAsia="Garamond" w:hAnsi="Garamond"/>
          <w:color w:val="2a2520"/>
          <w:sz w:val="22"/>
          <w:szCs w:val="22"/>
        </w:rPr>
        <w:t xml:space="preserve">The Electoral Commission certifies the final presidential election result to the NRS within a period the Legislature defines by statute. Certification is final and may be challenged only before the Supreme Court within 14 days. No transfer of presidential authority may be delayed beyond the constitutionally fixed moment.</w:t>
      </w:r>
    </w:p>
    <w:p>
      <w:pPr>
        <w:spacing w:after="60" w:before="200"/>
        <w:ind w:left="863"/>
      </w:pPr>
      <w:r>
        <w:rPr>
          <w:rFonts w:ascii="Courier New" w:cs="Courier New" w:eastAsia="Courier New" w:hAnsi="Courier New"/>
          <w:b/>
          <w:bCs/>
          <w:color w:val="1B2A4A"/>
          <w:sz w:val="18"/>
          <w:szCs w:val="18"/>
        </w:rPr>
        <w:t xml:space="preserve">§7.2.f  </w:t>
      </w:r>
      <w:r>
        <w:rPr>
          <w:rFonts w:ascii="Garamond" w:cs="Garamond" w:eastAsia="Garamond" w:hAnsi="Garamond"/>
          <w:b/>
          <w:bCs/>
          <w:color w:val="1B2A4A"/>
          <w:sz w:val="22"/>
          <w:szCs w:val="22"/>
        </w:rPr>
        <w:t xml:space="preserve">Run-off</w:t>
      </w:r>
    </w:p>
    <w:p>
      <w:pPr>
        <w:spacing w:after="120" w:before="0"/>
        <w:ind w:left="863"/>
        <w:jc w:val="both"/>
      </w:pPr>
      <w:r>
        <w:rPr>
          <w:rFonts w:ascii="Garamond" w:cs="Garamond" w:eastAsia="Garamond" w:hAnsi="Garamond"/>
          <w:color w:val="2a2520"/>
          <w:sz w:val="22"/>
          <w:szCs w:val="22"/>
        </w:rPr>
        <w:t xml:space="preserve">If two candidates are within 0.5 percentage points of each other on the final combined score as calculated under §7.2.b, a head-to-head national RCV runoff is conducted between those two candidates. The runoff closes the edge-case gap where the combined score is mathematically indeterminate.</w:t>
      </w:r>
    </w:p>
    <w:p>
      <w:pPr>
        <w:spacing w:after="60" w:before="200"/>
        <w:ind w:left="863"/>
      </w:pPr>
      <w:r>
        <w:rPr>
          <w:rFonts w:ascii="Courier New" w:cs="Courier New" w:eastAsia="Courier New" w:hAnsi="Courier New"/>
          <w:b/>
          <w:bCs/>
          <w:color w:val="1B2A4A"/>
          <w:sz w:val="18"/>
          <w:szCs w:val="18"/>
        </w:rPr>
        <w:t xml:space="preserve">§7.3.a  </w:t>
      </w:r>
      <w:r>
        <w:rPr>
          <w:rFonts w:ascii="Garamond" w:cs="Garamond" w:eastAsia="Garamond" w:hAnsi="Garamond"/>
          <w:b/>
          <w:bCs/>
          <w:color w:val="1B2A4A"/>
          <w:sz w:val="22"/>
          <w:szCs w:val="22"/>
        </w:rPr>
        <w:t xml:space="preserve">No Executive Interference</w:t>
      </w:r>
    </w:p>
    <w:p>
      <w:pPr>
        <w:spacing w:after="120" w:before="0"/>
        <w:ind w:left="863"/>
        <w:jc w:val="both"/>
      </w:pPr>
      <w:r>
        <w:rPr>
          <w:rFonts w:ascii="Garamond" w:cs="Garamond" w:eastAsia="Garamond" w:hAnsi="Garamond"/>
          <w:color w:val="2a2520"/>
          <w:sz w:val="22"/>
          <w:szCs w:val="22"/>
        </w:rPr>
        <w:t xml:space="preserve">The President may not declare, postpone, or influence the scheduling of elections — including declaring emergencies that have the effect of postponing them. §1.25.e's prohibition on emergency-based election postponement backs this up: even a genuine emergency cannot defer a scheduled election.</w:t>
      </w:r>
    </w:p>
    <w:p>
      <w:pPr>
        <w:spacing w:after="60" w:before="200"/>
        <w:ind w:left="863"/>
      </w:pPr>
      <w:r>
        <w:rPr>
          <w:rFonts w:ascii="Courier New" w:cs="Courier New" w:eastAsia="Courier New" w:hAnsi="Courier New"/>
          <w:b/>
          <w:bCs/>
          <w:color w:val="1B2A4A"/>
          <w:sz w:val="18"/>
          <w:szCs w:val="18"/>
        </w:rPr>
        <w:t xml:space="preserve">§7.3.b  </w:t>
      </w:r>
      <w:r>
        <w:rPr>
          <w:rFonts w:ascii="Garamond" w:cs="Garamond" w:eastAsia="Garamond" w:hAnsi="Garamond"/>
          <w:b/>
          <w:bCs/>
          <w:color w:val="1B2A4A"/>
          <w:sz w:val="22"/>
          <w:szCs w:val="22"/>
        </w:rPr>
        <w:t xml:space="preserve">National Voting System</w:t>
      </w:r>
    </w:p>
    <w:p>
      <w:pPr>
        <w:spacing w:after="120" w:before="0"/>
        <w:ind w:left="863"/>
        <w:jc w:val="both"/>
      </w:pPr>
      <w:r>
        <w:rPr>
          <w:rFonts w:ascii="Garamond" w:cs="Garamond" w:eastAsia="Garamond" w:hAnsi="Garamond"/>
          <w:color w:val="2a2520"/>
          <w:sz w:val="22"/>
          <w:szCs w:val="22"/>
        </w:rPr>
        <w:t xml:space="preserve">The Electoral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863"/>
      </w:pPr>
      <w:r>
        <w:rPr>
          <w:rFonts w:ascii="Courier New" w:cs="Courier New" w:eastAsia="Courier New" w:hAnsi="Courier New"/>
          <w:b/>
          <w:bCs/>
          <w:color w:val="1B2A4A"/>
          <w:sz w:val="18"/>
          <w:szCs w:val="18"/>
        </w:rPr>
        <w:t xml:space="preserve">§7.3.c  </w:t>
      </w:r>
      <w:r>
        <w:rPr>
          <w:rFonts w:ascii="Garamond" w:cs="Garamond" w:eastAsia="Garamond" w:hAnsi="Garamond"/>
          <w:b/>
          <w:bCs/>
          <w:color w:val="1B2A4A"/>
          <w:sz w:val="22"/>
          <w:szCs w:val="22"/>
        </w:rPr>
        <w:t xml:space="preserve">Participation Protection</w:t>
      </w:r>
    </w:p>
    <w:p>
      <w:pPr>
        <w:spacing w:after="120" w:before="0"/>
        <w:ind w:left="863"/>
        <w:jc w:val="both"/>
      </w:pPr>
      <w:r>
        <w:rPr>
          <w:rFonts w:ascii="Garamond" w:cs="Garamond" w:eastAsia="Garamond" w:hAnsi="Garamond"/>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VIII — The Inspectorates</w:t>
      </w:r>
    </w:p>
    <w:p>
      <w:pPr>
        <w:spacing w:after="120"/>
      </w:pPr>
    </w:p>
    <w:p>
      <w:pPr>
        <w:spacing w:after="60" w:before="200"/>
        <w:ind w:left="431"/>
      </w:pPr>
      <w:r>
        <w:rPr>
          <w:rFonts w:ascii="Courier New" w:cs="Courier New" w:eastAsia="Courier New" w:hAnsi="Courier New"/>
          <w:b/>
          <w:bCs/>
          <w:color w:val="1B2A4A"/>
          <w:sz w:val="18"/>
          <w:szCs w:val="18"/>
        </w:rPr>
        <w:t xml:space="preserve">§8.1  </w:t>
      </w:r>
      <w:r>
        <w:rPr>
          <w:rFonts w:ascii="Garamond" w:cs="Garamond" w:eastAsia="Garamond" w:hAnsi="Garamond"/>
          <w:b/>
          <w:bCs/>
          <w:color w:val="1B2A4A"/>
          <w:sz w:val="22"/>
          <w:szCs w:val="22"/>
        </w:rPr>
        <w:t xml:space="preserve">Three Inspectorates</w:t>
      </w:r>
    </w:p>
    <w:p>
      <w:pPr>
        <w:spacing w:after="120" w:before="0"/>
        <w:ind w:left="431"/>
        <w:jc w:val="both"/>
      </w:pPr>
      <w:r>
        <w:rPr>
          <w:rFonts w:ascii="Garamond" w:cs="Garamond" w:eastAsia="Garamond" w:hAnsi="Garamond"/>
          <w:color w:val="2a2520"/>
          <w:sz w:val="22"/>
          <w:szCs w:val="22"/>
        </w:rPr>
        <w:t xml:space="preserve">The Three Inspectorates — one for each branch, each selected by the branches it does not watch. Constitutional independence, information-only mandate (§8.6), 10-year non-renewable terms, funding floors. No government majority can defund, direct, or suppress them without a 2/3 supermajority.</w:t>
      </w:r>
    </w:p>
    <w:p>
      <w:pPr>
        <w:spacing w:after="60" w:before="200"/>
        <w:ind w:left="863"/>
      </w:pPr>
      <w:r>
        <w:rPr>
          <w:rFonts w:ascii="Courier New" w:cs="Courier New" w:eastAsia="Courier New" w:hAnsi="Courier New"/>
          <w:b/>
          <w:bCs/>
          <w:color w:val="1B2A4A"/>
          <w:sz w:val="18"/>
          <w:szCs w:val="18"/>
        </w:rPr>
        <w:t xml:space="preserve">§8.1.a  </w:t>
      </w:r>
      <w:r>
        <w:rPr>
          <w:rFonts w:ascii="Garamond" w:cs="Garamond" w:eastAsia="Garamond" w:hAnsi="Garamond"/>
          <w:b/>
          <w:bCs/>
          <w:color w:val="1B2A4A"/>
          <w:sz w:val="22"/>
          <w:szCs w:val="22"/>
        </w:rPr>
        <w:t xml:space="preserve">The Legislative Inspectorate (LI)</w:t>
      </w:r>
    </w:p>
    <w:p>
      <w:pPr>
        <w:spacing w:after="120" w:before="0"/>
        <w:ind w:left="863"/>
        <w:jc w:val="both"/>
      </w:pPr>
      <w:r>
        <w:rPr>
          <w:rFonts w:ascii="Garamond" w:cs="Garamond" w:eastAsia="Garamond" w:hAnsi="Garamond"/>
          <w:color w:val="2a2520"/>
          <w:sz w:val="22"/>
          <w:szCs w:val="22"/>
        </w:rPr>
        <w:t xml:space="preserve">LI Mandate — audits the Legislature for fiscal accuracy, constitutional compliance, and NRS integrity. Conducts the population census (assigned to the LI because the census determines House seat allocation — giving this to a body nominated by the House would be a direct conflict of interest). Reviews House district maps. Publishes germaneness analyses. Annual compliance report published to the NRS.</w:t>
      </w:r>
    </w:p>
    <w:p>
      <w:pPr>
        <w:spacing w:after="60" w:before="200"/>
        <w:ind w:left="863"/>
      </w:pPr>
      <w:r>
        <w:rPr>
          <w:rFonts w:ascii="Courier New" w:cs="Courier New" w:eastAsia="Courier New" w:hAnsi="Courier New"/>
          <w:b/>
          <w:bCs/>
          <w:color w:val="1B2A4A"/>
          <w:sz w:val="18"/>
          <w:szCs w:val="18"/>
        </w:rPr>
        <w:t xml:space="preserve">§8.1.b  </w:t>
      </w:r>
      <w:r>
        <w:rPr>
          <w:rFonts w:ascii="Garamond" w:cs="Garamond" w:eastAsia="Garamond" w:hAnsi="Garamond"/>
          <w:b/>
          <w:bCs/>
          <w:color w:val="1B2A4A"/>
          <w:sz w:val="22"/>
          <w:szCs w:val="22"/>
        </w:rPr>
        <w:t xml:space="preserve">The Executive Inspectorate (EI)</w:t>
      </w:r>
    </w:p>
    <w:p>
      <w:pPr>
        <w:spacing w:after="120" w:before="0"/>
        <w:ind w:left="863"/>
        <w:jc w:val="both"/>
      </w:pPr>
      <w:r>
        <w:rPr>
          <w:rFonts w:ascii="Garamond" w:cs="Garamond" w:eastAsia="Garamond" w:hAnsi="Garamond"/>
          <w:color w:val="2a2520"/>
          <w:sz w:val="22"/>
          <w:szCs w:val="22"/>
        </w:rPr>
        <w:t xml:space="preserve">EI Mandate — audits both executives and the Monetary Authority. Annual military compliance assessment: were Tier authorizations followed? Was §1.29.d Intelligence Firewall maintained? Were fund certifications observed? Publishes clemency background reports before any executive act. Reviews disclosure records for constitutional appointments.</w:t>
      </w:r>
    </w:p>
    <w:p>
      <w:pPr>
        <w:spacing w:after="60" w:before="200"/>
        <w:ind w:left="863"/>
      </w:pPr>
      <w:r>
        <w:rPr>
          <w:rFonts w:ascii="Courier New" w:cs="Courier New" w:eastAsia="Courier New" w:hAnsi="Courier New"/>
          <w:b/>
          <w:bCs/>
          <w:color w:val="1B2A4A"/>
          <w:sz w:val="18"/>
          <w:szCs w:val="18"/>
        </w:rPr>
        <w:t xml:space="preserve">§8.1.c  </w:t>
      </w:r>
      <w:r>
        <w:rPr>
          <w:rFonts w:ascii="Garamond" w:cs="Garamond" w:eastAsia="Garamond" w:hAnsi="Garamond"/>
          <w:b/>
          <w:bCs/>
          <w:color w:val="1B2A4A"/>
          <w:sz w:val="22"/>
          <w:szCs w:val="22"/>
        </w:rPr>
        <w:t xml:space="preserve">The Judicial Inspectorate (JI)</w:t>
      </w:r>
    </w:p>
    <w:p>
      <w:pPr>
        <w:spacing w:after="120" w:before="0"/>
        <w:ind w:left="863"/>
        <w:jc w:val="both"/>
      </w:pPr>
      <w:r>
        <w:rPr>
          <w:rFonts w:ascii="Garamond" w:cs="Garamond" w:eastAsia="Garamond" w:hAnsi="Garamond"/>
          <w:color w:val="2a2520"/>
          <w:sz w:val="22"/>
          <w:szCs w:val="22"/>
        </w:rPr>
        <w:t xml:space="preserve">JI Mandate — audits the courts for judicial scope and independence. Maintains the SC Candidate Registry. Vets judicial nominees and Electoral Commission candidates. Screens citizen referendum petitions for eligibility. Audits the Electoral Commission annually. Reviews accommodation compact compliance under §19.1, Associated Community compact compliance under Article XX, and Article XIV indigenous compact obligations.</w:t>
      </w:r>
    </w:p>
    <w:p>
      <w:pPr>
        <w:spacing w:after="60" w:before="200"/>
        <w:ind w:left="431"/>
      </w:pPr>
      <w:r>
        <w:rPr>
          <w:rFonts w:ascii="Courier New" w:cs="Courier New" w:eastAsia="Courier New" w:hAnsi="Courier New"/>
          <w:b/>
          <w:bCs/>
          <w:color w:val="1B2A4A"/>
          <w:sz w:val="18"/>
          <w:szCs w:val="18"/>
        </w:rPr>
        <w:t xml:space="preserve">§8.10  </w:t>
      </w:r>
      <w:r>
        <w:rPr>
          <w:rFonts w:ascii="Garamond" w:cs="Garamond" w:eastAsia="Garamond" w:hAnsi="Garamond"/>
          <w:b/>
          <w:bCs/>
          <w:color w:val="1B2A4A"/>
          <w:sz w:val="22"/>
          <w:szCs w:val="22"/>
        </w:rPr>
        <w:t xml:space="preserve">MA Independence Protection</w:t>
      </w:r>
    </w:p>
    <w:p>
      <w:pPr>
        <w:spacing w:after="120" w:before="0"/>
        <w:ind w:left="431"/>
        <w:jc w:val="both"/>
      </w:pPr>
      <w:r>
        <w:rPr>
          <w:rFonts w:ascii="Garamond" w:cs="Garamond" w:eastAsia="Garamond" w:hAnsi="Garamond"/>
          <w:color w:val="2a2520"/>
          <w:sz w:val="22"/>
          <w:szCs w:val="22"/>
        </w:rPr>
        <w:t xml:space="preserve">MA Independence Protection — 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431"/>
      </w:pPr>
      <w:r>
        <w:rPr>
          <w:rFonts w:ascii="Courier New" w:cs="Courier New" w:eastAsia="Courier New" w:hAnsi="Courier New"/>
          <w:b/>
          <w:bCs/>
          <w:color w:val="1B2A4A"/>
          <w:sz w:val="18"/>
          <w:szCs w:val="18"/>
        </w:rPr>
        <w:t xml:space="preserve">§8.11  </w:t>
      </w:r>
      <w:r>
        <w:rPr>
          <w:rFonts w:ascii="Garamond" w:cs="Garamond" w:eastAsia="Garamond" w:hAnsi="Garamond"/>
          <w:b/>
          <w:bCs/>
          <w:color w:val="1B2A4A"/>
          <w:sz w:val="22"/>
          <w:szCs w:val="22"/>
        </w:rPr>
        <w:t xml:space="preserve">Eighth-Year Assessment</w:t>
      </w:r>
    </w:p>
    <w:p>
      <w:pPr>
        <w:spacing w:after="120" w:before="0"/>
        <w:ind w:left="431"/>
        <w:jc w:val="both"/>
      </w:pPr>
      <w:r>
        <w:rPr>
          <w:rFonts w:ascii="Garamond" w:cs="Garamond" w:eastAsia="Garamond" w:hAnsi="Garamond"/>
          <w:color w:val="2a2520"/>
          <w:sz w:val="22"/>
          <w:szCs w:val="22"/>
        </w:rPr>
        <w:t xml:space="preserve">The eight-year joint assessment is the constitution's built-in self-evaluation mechanism — the document asking whether it is working as designed. Every eight years, the three Inspectorates jointly assess constitutional performance across all domains: Are rights enforced? Is the Inspectorate reporting mechanism functioning or being abused? Are fiscal obligations met? Is military subordination complete? Is NRS coverage comprehensive? The assessment creates a permanent longitudinal record allowing comparison across periods. No previous constitution has built a scheduled self-assessment into its text. The mechanism operationalizes the drafters' epistemic humility: the document cannot know in advance whether it works; it builds in the machinery to find out, permanently and publicly.</w:t>
      </w:r>
    </w:p>
    <w:p>
      <w:pPr>
        <w:spacing w:after="60" w:before="200"/>
        <w:ind w:left="431"/>
      </w:pPr>
      <w:r>
        <w:rPr>
          <w:rFonts w:ascii="Courier New" w:cs="Courier New" w:eastAsia="Courier New" w:hAnsi="Courier New"/>
          <w:b/>
          <w:bCs/>
          <w:color w:val="1B2A4A"/>
          <w:sz w:val="18"/>
          <w:szCs w:val="18"/>
        </w:rPr>
        <w:t xml:space="preserve">§8.2  </w:t>
      </w:r>
      <w:r>
        <w:rPr>
          <w:rFonts w:ascii="Garamond" w:cs="Garamond" w:eastAsia="Garamond" w:hAnsi="Garamond"/>
          <w:b/>
          <w:bCs/>
          <w:color w:val="1B2A4A"/>
          <w:sz w:val="22"/>
          <w:szCs w:val="22"/>
        </w:rPr>
        <w:t xml:space="preserve">Selection and Independence</w:t>
      </w:r>
    </w:p>
    <w:p>
      <w:pPr>
        <w:spacing w:after="120" w:before="0"/>
        <w:ind w:left="431"/>
        <w:jc w:val="both"/>
      </w:pPr>
      <w:r>
        <w:rPr>
          <w:rFonts w:ascii="Garamond" w:cs="Garamond" w:eastAsia="Garamond" w:hAnsi="Garamond"/>
          <w:color w:val="2a2520"/>
          <w:sz w:val="22"/>
          <w:szCs w:val="22"/>
        </w:rPr>
        <w:t xml:space="preserve">Selection and Independence — the cross-nomination model. SC nominates the LI IG (confirmed by Senate 2/3; House entirely excluded). House nominates the EI IG (confirmed by Senate simple majority; JI vets). JI IG selected by public lottery (no political body nominates anyone). Each Inspectorate is structured so that the body it watches had no role in selecting it.</w:t>
      </w:r>
    </w:p>
    <w:p>
      <w:pPr>
        <w:spacing w:after="60" w:before="200"/>
        <w:ind w:left="863"/>
      </w:pPr>
      <w:r>
        <w:rPr>
          <w:rFonts w:ascii="Courier New" w:cs="Courier New" w:eastAsia="Courier New" w:hAnsi="Courier New"/>
          <w:b/>
          <w:bCs/>
          <w:color w:val="1B2A4A"/>
          <w:sz w:val="18"/>
          <w:szCs w:val="18"/>
        </w:rPr>
        <w:t xml:space="preserve">§8.3.a  </w:t>
      </w:r>
      <w:r>
        <w:rPr>
          <w:rFonts w:ascii="Garamond" w:cs="Garamond" w:eastAsia="Garamond" w:hAnsi="Garamond"/>
          <w:b/>
          <w:bCs/>
          <w:color w:val="1B2A4A"/>
          <w:sz w:val="22"/>
          <w:szCs w:val="22"/>
        </w:rPr>
        <w:t xml:space="preserve">Legislative IG</w:t>
      </w:r>
    </w:p>
    <w:p>
      <w:pPr>
        <w:spacing w:after="120" w:before="0"/>
        <w:ind w:left="863"/>
        <w:jc w:val="both"/>
      </w:pPr>
      <w:r>
        <w:rPr>
          <w:rFonts w:ascii="Garamond" w:cs="Garamond" w:eastAsia="Garamond" w:hAnsi="Garamond"/>
          <w:color w:val="2a2520"/>
          <w:sz w:val="22"/>
          <w:szCs w:val="22"/>
        </w:rPr>
        <w:t xml:space="preserve">LI Inspector General Selection —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863"/>
      </w:pPr>
      <w:r>
        <w:rPr>
          <w:rFonts w:ascii="Courier New" w:cs="Courier New" w:eastAsia="Courier New" w:hAnsi="Courier New"/>
          <w:b/>
          <w:bCs/>
          <w:color w:val="1B2A4A"/>
          <w:sz w:val="18"/>
          <w:szCs w:val="18"/>
        </w:rPr>
        <w:t xml:space="preserve">§8.3.b  </w:t>
      </w:r>
      <w:r>
        <w:rPr>
          <w:rFonts w:ascii="Garamond" w:cs="Garamond" w:eastAsia="Garamond" w:hAnsi="Garamond"/>
          <w:b/>
          <w:bCs/>
          <w:color w:val="1B2A4A"/>
          <w:sz w:val="22"/>
          <w:szCs w:val="22"/>
        </w:rPr>
        <w:t xml:space="preserve">Executive IG</w:t>
      </w:r>
    </w:p>
    <w:p>
      <w:pPr>
        <w:spacing w:after="120" w:before="0"/>
        <w:ind w:left="863"/>
        <w:jc w:val="both"/>
      </w:pPr>
      <w:r>
        <w:rPr>
          <w:rFonts w:ascii="Garamond" w:cs="Garamond" w:eastAsia="Garamond" w:hAnsi="Garamond"/>
          <w:color w:val="2a2520"/>
          <w:sz w:val="22"/>
          <w:szCs w:val="22"/>
        </w:rPr>
        <w:t xml:space="preserve">EI Inspector General Selection —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ind w:left="863"/>
      </w:pPr>
      <w:r>
        <w:rPr>
          <w:rFonts w:ascii="Courier New" w:cs="Courier New" w:eastAsia="Courier New" w:hAnsi="Courier New"/>
          <w:b/>
          <w:bCs/>
          <w:color w:val="1B2A4A"/>
          <w:sz w:val="18"/>
          <w:szCs w:val="18"/>
        </w:rPr>
        <w:t xml:space="preserve">§8.3.c  </w:t>
      </w:r>
      <w:r>
        <w:rPr>
          <w:rFonts w:ascii="Garamond" w:cs="Garamond" w:eastAsia="Garamond" w:hAnsi="Garamond"/>
          <w:b/>
          <w:bCs/>
          <w:color w:val="1B2A4A"/>
          <w:sz w:val="22"/>
          <w:szCs w:val="22"/>
        </w:rPr>
        <w:t xml:space="preserve">Term and Staggering</w:t>
      </w:r>
    </w:p>
    <w:p>
      <w:pPr>
        <w:spacing w:after="120" w:before="0"/>
        <w:ind w:left="863"/>
        <w:jc w:val="both"/>
      </w:pPr>
      <w:r>
        <w:rPr>
          <w:rFonts w:ascii="Garamond" w:cs="Garamond" w:eastAsia="Garamond" w:hAnsi="Garamond"/>
          <w:color w:val="2a2520"/>
          <w:sz w:val="22"/>
          <w:szCs w:val="22"/>
        </w:rPr>
        <w:t xml:space="preserve">Term and Staggering — 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863"/>
      </w:pPr>
      <w:r>
        <w:rPr>
          <w:rFonts w:ascii="Courier New" w:cs="Courier New" w:eastAsia="Courier New" w:hAnsi="Courier New"/>
          <w:b/>
          <w:bCs/>
          <w:color w:val="1B2A4A"/>
          <w:sz w:val="18"/>
          <w:szCs w:val="18"/>
        </w:rPr>
        <w:t xml:space="preserve">§8.4.a  </w:t>
      </w:r>
      <w:r>
        <w:rPr>
          <w:rFonts w:ascii="Garamond" w:cs="Garamond" w:eastAsia="Garamond" w:hAnsi="Garamond"/>
          <w:b/>
          <w:bCs/>
          <w:color w:val="1B2A4A"/>
          <w:sz w:val="22"/>
          <w:szCs w:val="22"/>
        </w:rPr>
        <w:t xml:space="preserve">Judicial IG Candidate Pool</w:t>
      </w:r>
    </w:p>
    <w:p>
      <w:pPr>
        <w:spacing w:after="120" w:before="0"/>
        <w:ind w:left="863"/>
        <w:jc w:val="both"/>
      </w:pPr>
      <w:r>
        <w:rPr>
          <w:rFonts w:ascii="Garamond" w:cs="Garamond" w:eastAsia="Garamond" w:hAnsi="Garamond"/>
          <w:color w:val="2a2520"/>
          <w:sz w:val="22"/>
          <w:szCs w:val="22"/>
        </w:rPr>
        <w:t xml:space="preserve">JI IG Selection — drawn by public lottery from a qualified candidate pool. The outgoing JI IG administers the draw, witnessed by the other two IGs and three citizens chosen by jury protocols. Published to the NRS immediately. No political body nominates the JI IG — the most structurally independent selection mechanism in the constitution.</w:t>
      </w:r>
    </w:p>
    <w:p>
      <w:pPr>
        <w:spacing w:after="60" w:before="200"/>
        <w:ind w:left="863"/>
      </w:pPr>
      <w:r>
        <w:rPr>
          <w:rFonts w:ascii="Courier New" w:cs="Courier New" w:eastAsia="Courier New" w:hAnsi="Courier New"/>
          <w:b/>
          <w:bCs/>
          <w:color w:val="1B2A4A"/>
          <w:sz w:val="18"/>
          <w:szCs w:val="18"/>
        </w:rPr>
        <w:t xml:space="preserve">§8.4.b  </w:t>
      </w:r>
      <w:r>
        <w:rPr>
          <w:rFonts w:ascii="Garamond" w:cs="Garamond" w:eastAsia="Garamond" w:hAnsi="Garamond"/>
          <w:b/>
          <w:bCs/>
          <w:color w:val="1B2A4A"/>
          <w:sz w:val="22"/>
          <w:szCs w:val="22"/>
        </w:rPr>
        <w:t xml:space="preserve">JI Compact Compliance Audit</w:t>
      </w:r>
    </w:p>
    <w:p>
      <w:pPr>
        <w:spacing w:after="120" w:before="0"/>
        <w:ind w:left="863"/>
        <w:jc w:val="both"/>
      </w:pPr>
      <w:r>
        <w:rPr>
          <w:rFonts w:ascii="Garamond" w:cs="Garamond" w:eastAsia="Garamond" w:hAnsi="Garamond"/>
          <w:color w:val="2a2520"/>
          <w:sz w:val="22"/>
          <w:szCs w:val="22"/>
        </w:rPr>
        <w:t xml:space="preserve">JI Compact Compliance — 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863"/>
      </w:pPr>
      <w:r>
        <w:rPr>
          <w:rFonts w:ascii="Courier New" w:cs="Courier New" w:eastAsia="Courier New" w:hAnsi="Courier New"/>
          <w:b/>
          <w:bCs/>
          <w:color w:val="1B2A4A"/>
          <w:sz w:val="18"/>
          <w:szCs w:val="18"/>
        </w:rPr>
        <w:t xml:space="preserve">§8.4.c  </w:t>
      </w:r>
      <w:r>
        <w:rPr>
          <w:rFonts w:ascii="Garamond" w:cs="Garamond" w:eastAsia="Garamond" w:hAnsi="Garamond"/>
          <w:b/>
          <w:bCs/>
          <w:color w:val="1B2A4A"/>
          <w:sz w:val="22"/>
          <w:szCs w:val="22"/>
        </w:rPr>
        <w:t xml:space="preserve">JI Court Operations Audit</w:t>
      </w:r>
    </w:p>
    <w:p>
      <w:pPr>
        <w:spacing w:after="120" w:before="0"/>
        <w:ind w:left="863"/>
        <w:jc w:val="both"/>
      </w:pPr>
      <w:r>
        <w:rPr>
          <w:rFonts w:ascii="Garamond" w:cs="Garamond" w:eastAsia="Garamond" w:hAnsi="Garamond"/>
          <w:color w:val="2a2520"/>
          <w:sz w:val="22"/>
          <w:szCs w:val="22"/>
        </w:rPr>
        <w:t xml:space="preserve">JI Court Operations Audit — 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863"/>
      </w:pPr>
      <w:r>
        <w:rPr>
          <w:rFonts w:ascii="Courier New" w:cs="Courier New" w:eastAsia="Courier New" w:hAnsi="Courier New"/>
          <w:b/>
          <w:bCs/>
          <w:color w:val="1B2A4A"/>
          <w:sz w:val="18"/>
          <w:szCs w:val="18"/>
        </w:rPr>
        <w:t xml:space="preserve">§8.4.d  </w:t>
      </w:r>
      <w:r>
        <w:rPr>
          <w:rFonts w:ascii="Garamond" w:cs="Garamond" w:eastAsia="Garamond" w:hAnsi="Garamond"/>
          <w:b/>
          <w:bCs/>
          <w:color w:val="1B2A4A"/>
          <w:sz w:val="22"/>
          <w:szCs w:val="22"/>
        </w:rPr>
        <w:t xml:space="preserve">JI Electoral Commission Audit</w:t>
      </w:r>
    </w:p>
    <w:p>
      <w:pPr>
        <w:spacing w:after="120" w:before="0"/>
        <w:ind w:left="863"/>
        <w:jc w:val="both"/>
      </w:pPr>
      <w:r>
        <w:rPr>
          <w:rFonts w:ascii="Garamond" w:cs="Garamond" w:eastAsia="Garamond" w:hAnsi="Garamond"/>
          <w:color w:val="2a2520"/>
          <w:sz w:val="22"/>
          <w:szCs w:val="22"/>
        </w:rPr>
        <w:t xml:space="preserve">JI Electoral Commission Audit — 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863"/>
      </w:pPr>
      <w:r>
        <w:rPr>
          <w:rFonts w:ascii="Courier New" w:cs="Courier New" w:eastAsia="Courier New" w:hAnsi="Courier New"/>
          <w:b/>
          <w:bCs/>
          <w:color w:val="1B2A4A"/>
          <w:sz w:val="18"/>
          <w:szCs w:val="18"/>
        </w:rPr>
        <w:t xml:space="preserve">§8.4.e  </w:t>
      </w:r>
      <w:r>
        <w:rPr>
          <w:rFonts w:ascii="Garamond" w:cs="Garamond" w:eastAsia="Garamond" w:hAnsi="Garamond"/>
          <w:b/>
          <w:bCs/>
          <w:color w:val="1B2A4A"/>
          <w:sz w:val="22"/>
          <w:szCs w:val="22"/>
        </w:rPr>
        <w:t xml:space="preserve">Supreme Court Candidate Registry</w:t>
      </w:r>
    </w:p>
    <w:p>
      <w:pPr>
        <w:spacing w:after="120" w:before="0"/>
        <w:ind w:left="863"/>
        <w:jc w:val="both"/>
      </w:pPr>
      <w:r>
        <w:rPr>
          <w:rFonts w:ascii="Garamond" w:cs="Garamond" w:eastAsia="Garamond" w:hAnsi="Garamond"/>
          <w:color w:val="2a2520"/>
          <w:sz w:val="22"/>
          <w:szCs w:val="22"/>
        </w:rPr>
        <w:t xml:space="preserve">SC Candidate Registry — the JI maintains the standing registry from which SC candidates are drawn. Any citizen meeting the eligibility criteria (15+ years legal practice or 10+ years judicial service, no current government position, no disqualifying financial interest) may apply. Applications reviewed within 21 days. Registry inclusion does not expire. Publicly accessible on the NRS at all times.</w:t>
      </w:r>
    </w:p>
    <w:p>
      <w:pPr>
        <w:spacing w:after="60" w:before="200"/>
        <w:ind w:left="863"/>
      </w:pPr>
      <w:r>
        <w:rPr>
          <w:rFonts w:ascii="Courier New" w:cs="Courier New" w:eastAsia="Courier New" w:hAnsi="Courier New"/>
          <w:b/>
          <w:bCs/>
          <w:color w:val="1B2A4A"/>
          <w:sz w:val="18"/>
          <w:szCs w:val="18"/>
        </w:rPr>
        <w:t xml:space="preserve">§8.4.f  </w:t>
      </w:r>
      <w:r>
        <w:rPr>
          <w:rFonts w:ascii="Garamond" w:cs="Garamond" w:eastAsia="Garamond" w:hAnsi="Garamond"/>
          <w:b/>
          <w:bCs/>
          <w:color w:val="1B2A4A"/>
          <w:sz w:val="22"/>
          <w:szCs w:val="22"/>
        </w:rPr>
        <w:t xml:space="preserve">JI Judicial Independence Audit</w:t>
      </w:r>
    </w:p>
    <w:p>
      <w:pPr>
        <w:spacing w:after="120" w:before="0"/>
        <w:ind w:left="863"/>
        <w:jc w:val="both"/>
      </w:pPr>
      <w:r>
        <w:rPr>
          <w:rFonts w:ascii="Garamond" w:cs="Garamond" w:eastAsia="Garamond" w:hAnsi="Garamond"/>
          <w:color w:val="2a2520"/>
          <w:sz w:val="22"/>
          <w:szCs w:val="22"/>
        </w:rPr>
        <w:t xml:space="preserve">JI Judicial Independence Audit — 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863"/>
      </w:pPr>
      <w:r>
        <w:rPr>
          <w:rFonts w:ascii="Courier New" w:cs="Courier New" w:eastAsia="Courier New" w:hAnsi="Courier New"/>
          <w:b/>
          <w:bCs/>
          <w:color w:val="1B2A4A"/>
          <w:sz w:val="18"/>
          <w:szCs w:val="18"/>
        </w:rPr>
        <w:t xml:space="preserve">§8.4.g  </w:t>
      </w:r>
      <w:r>
        <w:rPr>
          <w:rFonts w:ascii="Garamond" w:cs="Garamond" w:eastAsia="Garamond" w:hAnsi="Garamond"/>
          <w:b/>
          <w:bCs/>
          <w:color w:val="1B2A4A"/>
          <w:sz w:val="22"/>
          <w:szCs w:val="22"/>
        </w:rPr>
        <w:t xml:space="preserve">SC Independence Assessment</w:t>
      </w:r>
    </w:p>
    <w:p>
      <w:pPr>
        <w:spacing w:after="120" w:before="0"/>
        <w:ind w:left="863"/>
        <w:jc w:val="both"/>
      </w:pPr>
      <w:r>
        <w:rPr>
          <w:rFonts w:ascii="Garamond" w:cs="Garamond" w:eastAsia="Garamond" w:hAnsi="Garamond"/>
          <w:color w:val="2a2520"/>
          <w:sz w:val="22"/>
          <w:szCs w:val="22"/>
        </w:rPr>
        <w:t xml:space="preserve">SC Independence Assessment — 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863"/>
      </w:pPr>
      <w:r>
        <w:rPr>
          <w:rFonts w:ascii="Courier New" w:cs="Courier New" w:eastAsia="Courier New" w:hAnsi="Courier New"/>
          <w:b/>
          <w:bCs/>
          <w:color w:val="1B2A4A"/>
          <w:sz w:val="18"/>
          <w:szCs w:val="18"/>
        </w:rPr>
        <w:t xml:space="preserve">§8.4.h  </w:t>
      </w:r>
      <w:r>
        <w:rPr>
          <w:rFonts w:ascii="Garamond" w:cs="Garamond" w:eastAsia="Garamond" w:hAnsi="Garamond"/>
          <w:b/>
          <w:bCs/>
          <w:color w:val="1B2A4A"/>
          <w:sz w:val="22"/>
          <w:szCs w:val="22"/>
        </w:rPr>
        <w:t xml:space="preserve">Inferior Court Compliance</w:t>
      </w:r>
    </w:p>
    <w:p>
      <w:pPr>
        <w:spacing w:after="120" w:before="0"/>
        <w:ind w:left="863"/>
        <w:jc w:val="both"/>
      </w:pPr>
      <w:r>
        <w:rPr>
          <w:rFonts w:ascii="Garamond" w:cs="Garamond" w:eastAsia="Garamond" w:hAnsi="Garamond"/>
          <w:color w:val="2a2520"/>
          <w:sz w:val="22"/>
          <w:szCs w:val="22"/>
        </w:rPr>
        <w:t xml:space="preserve">Inferior Court Compliance — 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863"/>
      </w:pPr>
      <w:r>
        <w:rPr>
          <w:rFonts w:ascii="Courier New" w:cs="Courier New" w:eastAsia="Courier New" w:hAnsi="Courier New"/>
          <w:b/>
          <w:bCs/>
          <w:color w:val="1B2A4A"/>
          <w:sz w:val="18"/>
          <w:szCs w:val="18"/>
        </w:rPr>
        <w:t xml:space="preserve">§8.4.i  </w:t>
      </w:r>
      <w:r>
        <w:rPr>
          <w:rFonts w:ascii="Garamond" w:cs="Garamond" w:eastAsia="Garamond" w:hAnsi="Garamond"/>
          <w:b/>
          <w:bCs/>
          <w:color w:val="1B2A4A"/>
          <w:sz w:val="22"/>
          <w:szCs w:val="22"/>
        </w:rPr>
        <w:t xml:space="preserve">Gatekeeping Appeal</w:t>
      </w:r>
    </w:p>
    <w:p>
      <w:pPr>
        <w:spacing w:after="120" w:before="0"/>
        <w:ind w:left="863"/>
        <w:jc w:val="both"/>
      </w:pPr>
      <w:r>
        <w:rPr>
          <w:rFonts w:ascii="Garamond" w:cs="Garamond" w:eastAsia="Garamond" w:hAnsi="Garamond"/>
          <w:color w:val="2a2520"/>
          <w:sz w:val="22"/>
          <w:szCs w:val="22"/>
        </w:rPr>
        <w:t xml:space="preserve">Gatekeeping Appeal — 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863"/>
      </w:pPr>
      <w:r>
        <w:rPr>
          <w:rFonts w:ascii="Courier New" w:cs="Courier New" w:eastAsia="Courier New" w:hAnsi="Courier New"/>
          <w:b/>
          <w:bCs/>
          <w:color w:val="1B2A4A"/>
          <w:sz w:val="18"/>
          <w:szCs w:val="18"/>
        </w:rPr>
        <w:t xml:space="preserve">§8.5.a  </w:t>
      </w:r>
      <w:r>
        <w:rPr>
          <w:rFonts w:ascii="Garamond" w:cs="Garamond" w:eastAsia="Garamond" w:hAnsi="Garamond"/>
          <w:b/>
          <w:bCs/>
          <w:color w:val="1B2A4A"/>
          <w:sz w:val="22"/>
          <w:szCs w:val="22"/>
        </w:rPr>
        <w:t xml:space="preserve">For-Cause Removal</w:t>
      </w:r>
    </w:p>
    <w:p>
      <w:pPr>
        <w:spacing w:after="120" w:before="0"/>
        <w:ind w:left="863"/>
        <w:jc w:val="both"/>
      </w:pPr>
      <w:r>
        <w:rPr>
          <w:rFonts w:ascii="Garamond" w:cs="Garamond" w:eastAsia="Garamond" w:hAnsi="Garamond"/>
          <w:color w:val="2a2520"/>
          <w:sz w:val="22"/>
          <w:szCs w:val="22"/>
        </w:rPr>
        <w:t xml:space="preserve">For-Cause Removal of IGs — requires 2/3 of both chambers simultaneously, preceded by a State Designee Panel finding under §8.9.f. The Panel verification requirement prevents politically motivated removal — the Legislature may not vote on For-Cause removal of an IG without a Panel finding on the stated grounds. The Legislature may proceed to the vote regardless of the direction of the Panel's finding; the finding becomes permanent public record alongside the vote. The remaining Inspectorates transmit the grounds and documentary record to the Panel as the initiating body under §8.9.f.</w:t>
      </w:r>
    </w:p>
    <w:p>
      <w:pPr>
        <w:spacing w:after="60" w:before="200"/>
        <w:ind w:left="863"/>
      </w:pPr>
      <w:r>
        <w:rPr>
          <w:rFonts w:ascii="Courier New" w:cs="Courier New" w:eastAsia="Courier New" w:hAnsi="Courier New"/>
          <w:b/>
          <w:bCs/>
          <w:color w:val="1B2A4A"/>
          <w:sz w:val="18"/>
          <w:szCs w:val="18"/>
        </w:rPr>
        <w:t xml:space="preserve">§8.5.b  </w:t>
      </w:r>
      <w:r>
        <w:rPr>
          <w:rFonts w:ascii="Garamond" w:cs="Garamond" w:eastAsia="Garamond" w:hAnsi="Garamond"/>
          <w:b/>
          <w:bCs/>
          <w:color w:val="1B2A4A"/>
          <w:sz w:val="22"/>
          <w:szCs w:val="22"/>
        </w:rPr>
        <w:t xml:space="preserve">No-Cause Removal</w:t>
      </w:r>
    </w:p>
    <w:p>
      <w:pPr>
        <w:spacing w:after="120" w:before="0"/>
        <w:ind w:left="863"/>
        <w:jc w:val="both"/>
      </w:pPr>
      <w:r>
        <w:rPr>
          <w:rFonts w:ascii="Garamond" w:cs="Garamond" w:eastAsia="Garamond" w:hAnsi="Garamond"/>
          <w:color w:val="2a2520"/>
          <w:sz w:val="22"/>
          <w:szCs w:val="22"/>
        </w:rPr>
        <w:t xml:space="preserve">No-Cause Removal — 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863"/>
      </w:pPr>
      <w:r>
        <w:rPr>
          <w:rFonts w:ascii="Courier New" w:cs="Courier New" w:eastAsia="Courier New" w:hAnsi="Courier New"/>
          <w:b/>
          <w:bCs/>
          <w:color w:val="1B2A4A"/>
          <w:sz w:val="18"/>
          <w:szCs w:val="18"/>
        </w:rPr>
        <w:t xml:space="preserve">§8.5.c  </w:t>
      </w:r>
      <w:r>
        <w:rPr>
          <w:rFonts w:ascii="Garamond" w:cs="Garamond" w:eastAsia="Garamond" w:hAnsi="Garamond"/>
          <w:b/>
          <w:bCs/>
          <w:color w:val="1B2A4A"/>
          <w:sz w:val="22"/>
          <w:szCs w:val="22"/>
        </w:rPr>
        <w:t xml:space="preserve">Judicial IG — For-Cause Only</w:t>
      </w:r>
    </w:p>
    <w:p>
      <w:pPr>
        <w:spacing w:after="120" w:before="0"/>
        <w:ind w:left="863"/>
        <w:jc w:val="both"/>
      </w:pPr>
      <w:r>
        <w:rPr>
          <w:rFonts w:ascii="Garamond" w:cs="Garamond" w:eastAsia="Garamond" w:hAnsi="Garamond"/>
          <w:color w:val="2a2520"/>
          <w:sz w:val="22"/>
          <w:szCs w:val="22"/>
        </w:rPr>
        <w:t xml:space="preserve">JI Removal — the JI IG may only be removed for cause; no-cause removal is not available. The JI's lottery-based selection and its role in judicial independence oversight makes it the most insulated of the three offices.</w:t>
      </w:r>
    </w:p>
    <w:p>
      <w:pPr>
        <w:spacing w:after="60" w:before="200"/>
        <w:ind w:left="863"/>
      </w:pPr>
      <w:r>
        <w:rPr>
          <w:rFonts w:ascii="Courier New" w:cs="Courier New" w:eastAsia="Courier New" w:hAnsi="Courier New"/>
          <w:b/>
          <w:bCs/>
          <w:color w:val="1B2A4A"/>
          <w:sz w:val="18"/>
          <w:szCs w:val="18"/>
        </w:rPr>
        <w:t xml:space="preserve">§8.6.a  </w:t>
      </w:r>
      <w:r>
        <w:rPr>
          <w:rFonts w:ascii="Garamond" w:cs="Garamond" w:eastAsia="Garamond" w:hAnsi="Garamond"/>
          <w:b/>
          <w:bCs/>
          <w:color w:val="1B2A4A"/>
          <w:sz w:val="22"/>
          <w:szCs w:val="22"/>
        </w:rPr>
        <w:t xml:space="preserve">Reports</w:t>
      </w:r>
    </w:p>
    <w:p>
      <w:pPr>
        <w:spacing w:after="120" w:before="0"/>
        <w:ind w:left="863"/>
        <w:jc w:val="both"/>
      </w:pPr>
      <w:r>
        <w:rPr>
          <w:rFonts w:ascii="Garamond" w:cs="Garamond" w:eastAsia="Garamond" w:hAnsi="Garamond"/>
          <w:color w:val="2a2520"/>
          <w:sz w:val="22"/>
          <w:szCs w:val="22"/>
        </w:rPr>
        <w:t xml:space="preserve">The Information-Only Mandate — Inspectorates publish facts; they do not issue binding orders or legal determinations. A finding that a government actor has breached the constitution is a factual statement, not a judgment. Courts, the Legislature, and the People decide what to do with those facts. This design keeps the Inspectorates within their constitutional role and prevents them from accumulating enforcement power.</w:t>
      </w:r>
    </w:p>
    <w:p>
      <w:pPr>
        <w:spacing w:after="60" w:before="200"/>
        <w:ind w:left="863"/>
      </w:pPr>
      <w:r>
        <w:rPr>
          <w:rFonts w:ascii="Courier New" w:cs="Courier New" w:eastAsia="Courier New" w:hAnsi="Courier New"/>
          <w:b/>
          <w:bCs/>
          <w:color w:val="1B2A4A"/>
          <w:sz w:val="18"/>
          <w:szCs w:val="18"/>
        </w:rPr>
        <w:t xml:space="preserve">§8.6.b  </w:t>
      </w:r>
      <w:r>
        <w:rPr>
          <w:rFonts w:ascii="Garamond" w:cs="Garamond" w:eastAsia="Garamond" w:hAnsi="Garamond"/>
          <w:b/>
          <w:bCs/>
          <w:color w:val="1B2A4A"/>
          <w:sz w:val="22"/>
          <w:szCs w:val="22"/>
        </w:rPr>
        <w:t xml:space="preserve">No Classification</w:t>
      </w:r>
    </w:p>
    <w:p>
      <w:pPr>
        <w:spacing w:after="120" w:before="0"/>
        <w:ind w:left="863"/>
        <w:jc w:val="both"/>
      </w:pPr>
      <w:r>
        <w:rPr>
          <w:rFonts w:ascii="Garamond" w:cs="Garamond" w:eastAsia="Garamond" w:hAnsi="Garamond"/>
          <w:color w:val="2a2520"/>
          <w:sz w:val="22"/>
          <w:szCs w:val="22"/>
        </w:rPr>
        <w:t xml:space="preserve">NRS Publication — 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863"/>
      </w:pPr>
      <w:r>
        <w:rPr>
          <w:rFonts w:ascii="Courier New" w:cs="Courier New" w:eastAsia="Courier New" w:hAnsi="Courier New"/>
          <w:b/>
          <w:bCs/>
          <w:color w:val="1B2A4A"/>
          <w:sz w:val="18"/>
          <w:szCs w:val="18"/>
        </w:rPr>
        <w:t xml:space="preserve">§8.6.c  </w:t>
      </w:r>
      <w:r>
        <w:rPr>
          <w:rFonts w:ascii="Garamond" w:cs="Garamond" w:eastAsia="Garamond" w:hAnsi="Garamond"/>
          <w:b/>
          <w:bCs/>
          <w:color w:val="1B2A4A"/>
          <w:sz w:val="22"/>
          <w:szCs w:val="22"/>
        </w:rPr>
        <w:t xml:space="preserve">No Binding Force</w:t>
      </w:r>
    </w:p>
    <w:p>
      <w:pPr>
        <w:spacing w:after="120" w:before="0"/>
        <w:ind w:left="863"/>
        <w:jc w:val="both"/>
      </w:pPr>
      <w:r>
        <w:rPr>
          <w:rFonts w:ascii="Garamond" w:cs="Garamond" w:eastAsia="Garamond" w:hAnsi="Garamond"/>
          <w:color w:val="2a2520"/>
          <w:sz w:val="22"/>
          <w:szCs w:val="22"/>
        </w:rPr>
        <w:t xml:space="preserve">Minority Reports — 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863"/>
      </w:pPr>
      <w:r>
        <w:rPr>
          <w:rFonts w:ascii="Courier New" w:cs="Courier New" w:eastAsia="Courier New" w:hAnsi="Courier New"/>
          <w:b/>
          <w:bCs/>
          <w:color w:val="1B2A4A"/>
          <w:sz w:val="18"/>
          <w:szCs w:val="18"/>
        </w:rPr>
        <w:t xml:space="preserve">§8.6.d  </w:t>
      </w:r>
      <w:r>
        <w:rPr>
          <w:rFonts w:ascii="Garamond" w:cs="Garamond" w:eastAsia="Garamond" w:hAnsi="Garamond"/>
          <w:b/>
          <w:bCs/>
          <w:color w:val="1B2A4A"/>
          <w:sz w:val="22"/>
          <w:szCs w:val="22"/>
        </w:rPr>
        <w:t xml:space="preserve">Non-Pursuit Disclosure</w:t>
      </w:r>
    </w:p>
    <w:p>
      <w:pPr>
        <w:spacing w:after="120" w:before="0"/>
        <w:ind w:left="863"/>
        <w:jc w:val="both"/>
      </w:pPr>
      <w:r>
        <w:rPr>
          <w:rFonts w:ascii="Garamond" w:cs="Garamond" w:eastAsia="Garamond" w:hAnsi="Garamond"/>
          <w:color w:val="2a2520"/>
          <w:sz w:val="22"/>
          <w:szCs w:val="22"/>
        </w:rPr>
        <w:t xml:space="preserve">Classification Exemption — 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863"/>
      </w:pPr>
      <w:r>
        <w:rPr>
          <w:rFonts w:ascii="Courier New" w:cs="Courier New" w:eastAsia="Courier New" w:hAnsi="Courier New"/>
          <w:b/>
          <w:bCs/>
          <w:color w:val="1B2A4A"/>
          <w:sz w:val="18"/>
          <w:szCs w:val="18"/>
        </w:rPr>
        <w:t xml:space="preserve">§8.6.e  </w:t>
      </w:r>
      <w:r>
        <w:rPr>
          <w:rFonts w:ascii="Garamond" w:cs="Garamond" w:eastAsia="Garamond" w:hAnsi="Garamond"/>
          <w:b/>
          <w:bCs/>
          <w:color w:val="1B2A4A"/>
          <w:sz w:val="22"/>
          <w:szCs w:val="22"/>
        </w:rPr>
        <w:t xml:space="preserve">Minority Reports</w:t>
      </w:r>
    </w:p>
    <w:p>
      <w:pPr>
        <w:spacing w:after="120" w:before="0"/>
        <w:ind w:left="863"/>
        <w:jc w:val="both"/>
      </w:pPr>
      <w:r>
        <w:rPr>
          <w:rFonts w:ascii="Garamond" w:cs="Garamond" w:eastAsia="Garamond" w:hAnsi="Garamond"/>
          <w:color w:val="2a2520"/>
          <w:sz w:val="22"/>
          <w:szCs w:val="22"/>
        </w:rPr>
        <w:t xml:space="preserve">Annual State of the Republic Report — 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863"/>
      </w:pPr>
      <w:r>
        <w:rPr>
          <w:rFonts w:ascii="Courier New" w:cs="Courier New" w:eastAsia="Courier New" w:hAnsi="Courier New"/>
          <w:b/>
          <w:bCs/>
          <w:color w:val="1B2A4A"/>
          <w:sz w:val="18"/>
          <w:szCs w:val="18"/>
        </w:rPr>
        <w:t xml:space="preserve">§8.6.f  </w:t>
      </w:r>
      <w:r>
        <w:rPr>
          <w:rFonts w:ascii="Garamond" w:cs="Garamond" w:eastAsia="Garamond" w:hAnsi="Garamond"/>
          <w:b/>
          <w:bCs/>
          <w:color w:val="1B2A4A"/>
          <w:sz w:val="22"/>
          <w:szCs w:val="22"/>
        </w:rPr>
        <w:t xml:space="preserve">Inspectorate Funding Guarantee</w:t>
      </w:r>
    </w:p>
    <w:p>
      <w:pPr>
        <w:spacing w:after="120" w:before="0"/>
        <w:ind w:left="863"/>
        <w:jc w:val="both"/>
      </w:pPr>
      <w:r>
        <w:rPr>
          <w:rFonts w:ascii="Garamond" w:cs="Garamond" w:eastAsia="Garamond" w:hAnsi="Garamond"/>
          <w:color w:val="2a2520"/>
          <w:sz w:val="22"/>
          <w:szCs w:val="22"/>
        </w:rPr>
        <w:t xml:space="preserve">Joint Investigation Authority — 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863"/>
      </w:pPr>
      <w:r>
        <w:rPr>
          <w:rFonts w:ascii="Courier New" w:cs="Courier New" w:eastAsia="Courier New" w:hAnsi="Courier New"/>
          <w:b/>
          <w:bCs/>
          <w:color w:val="1B2A4A"/>
          <w:sz w:val="18"/>
          <w:szCs w:val="18"/>
        </w:rPr>
        <w:t xml:space="preserve">§8.6.g  </w:t>
      </w:r>
      <w:r>
        <w:rPr>
          <w:rFonts w:ascii="Garamond" w:cs="Garamond" w:eastAsia="Garamond" w:hAnsi="Garamond"/>
          <w:b/>
          <w:bCs/>
          <w:color w:val="1B2A4A"/>
          <w:sz w:val="22"/>
          <w:szCs w:val="22"/>
        </w:rPr>
        <w:t xml:space="preserve">Citizen Discrepancy Petition</w:t>
      </w:r>
    </w:p>
    <w:p>
      <w:pPr>
        <w:spacing w:after="120" w:before="0"/>
        <w:ind w:left="863"/>
        <w:jc w:val="both"/>
      </w:pPr>
      <w:r>
        <w:rPr>
          <w:rFonts w:ascii="Garamond" w:cs="Garamond" w:eastAsia="Garamond" w:hAnsi="Garamond"/>
          <w:color w:val="2a2520"/>
          <w:sz w:val="22"/>
          <w:szCs w:val="22"/>
        </w:rPr>
        <w:t xml:space="preserve">Investigative Access — 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pPr>
      <w:r>
        <w:rPr>
          <w:rFonts w:ascii="Courier New" w:cs="Courier New" w:eastAsia="Courier New" w:hAnsi="Courier New"/>
          <w:b/>
          <w:bCs/>
          <w:color w:val="1B2A4A"/>
          <w:sz w:val="18"/>
          <w:szCs w:val="18"/>
        </w:rPr>
        <w:t xml:space="preserve">§8.7  </w:t>
      </w:r>
      <w:r>
        <w:rPr>
          <w:rFonts w:ascii="Garamond" w:cs="Garamond" w:eastAsia="Garamond" w:hAnsi="Garamond"/>
          <w:b/>
          <w:bCs/>
          <w:color w:val="1B2A4A"/>
          <w:sz w:val="22"/>
          <w:szCs w:val="22"/>
        </w:rPr>
        <w:t xml:space="preserve">Triggered Investigations</w:t>
      </w:r>
    </w:p>
    <w:p>
      <w:pPr>
        <w:spacing w:after="120" w:before="0"/>
        <w:ind w:left="431"/>
        <w:jc w:val="both"/>
      </w:pPr>
      <w:r>
        <w:rPr>
          <w:rFonts w:ascii="Garamond" w:cs="Garamond" w:eastAsia="Garamond" w:hAnsi="Garamond"/>
          <w:color w:val="2a2520"/>
          <w:sz w:val="22"/>
          <w:szCs w:val="22"/>
        </w:rPr>
        <w:t xml:space="preserve">EI Dereliction Investigation — 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863"/>
      </w:pPr>
      <w:r>
        <w:rPr>
          <w:rFonts w:ascii="Courier New" w:cs="Courier New" w:eastAsia="Courier New" w:hAnsi="Courier New"/>
          <w:b/>
          <w:bCs/>
          <w:color w:val="1B2A4A"/>
          <w:sz w:val="18"/>
          <w:szCs w:val="18"/>
        </w:rPr>
        <w:t xml:space="preserve">§8.7.a  </w:t>
      </w:r>
      <w:r>
        <w:rPr>
          <w:rFonts w:ascii="Garamond" w:cs="Garamond" w:eastAsia="Garamond" w:hAnsi="Garamond"/>
          <w:b/>
          <w:bCs/>
          <w:color w:val="1B2A4A"/>
          <w:sz w:val="22"/>
          <w:szCs w:val="22"/>
        </w:rPr>
        <w:t xml:space="preserve">Official Trigger</w:t>
      </w:r>
    </w:p>
    <w:p>
      <w:pPr>
        <w:spacing w:after="120" w:before="0"/>
        <w:ind w:left="863"/>
        <w:jc w:val="both"/>
      </w:pPr>
      <w:r>
        <w:rPr>
          <w:rFonts w:ascii="Garamond" w:cs="Garamond" w:eastAsia="Garamond" w:hAnsi="Garamond"/>
          <w:color w:val="2a2520"/>
          <w:sz w:val="22"/>
          <w:szCs w:val="22"/>
        </w:rPr>
        <w:t xml:space="preserve">Dereliction Standards — 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863"/>
      </w:pPr>
      <w:r>
        <w:rPr>
          <w:rFonts w:ascii="Courier New" w:cs="Courier New" w:eastAsia="Courier New" w:hAnsi="Courier New"/>
          <w:b/>
          <w:bCs/>
          <w:color w:val="1B2A4A"/>
          <w:sz w:val="18"/>
          <w:szCs w:val="18"/>
        </w:rPr>
        <w:t xml:space="preserve">§8.8.b  </w:t>
      </w:r>
      <w:r>
        <w:rPr>
          <w:rFonts w:ascii="Garamond" w:cs="Garamond" w:eastAsia="Garamond" w:hAnsi="Garamond"/>
          <w:b/>
          <w:bCs/>
          <w:color w:val="1B2A4A"/>
          <w:sz w:val="22"/>
          <w:szCs w:val="22"/>
        </w:rPr>
        <w:t xml:space="preserve">Publication</w:t>
      </w:r>
    </w:p>
    <w:p>
      <w:pPr>
        <w:spacing w:after="120" w:before="0"/>
        <w:ind w:left="863"/>
        <w:jc w:val="both"/>
      </w:pPr>
      <w:r>
        <w:rPr>
          <w:rFonts w:ascii="Garamond" w:cs="Garamond" w:eastAsia="Garamond" w:hAnsi="Garamond"/>
          <w:color w:val="2a2520"/>
          <w:sz w:val="22"/>
          <w:szCs w:val="22"/>
        </w:rPr>
        <w:t xml:space="preserve">EI Annual Military Assessment — a dedicated section within the EI's annual report covering: whether military operations in the prior year were authorized through the correct Tier; whether the §1.29.d Intelligence Firewall was maintained; whether PM fund certifications were obtained and observed; whether the 48-hour NRS publication requirement was met for all military orders.</w:t>
      </w:r>
    </w:p>
    <w:p>
      <w:pPr>
        <w:spacing w:after="60" w:before="200"/>
        <w:ind w:left="431"/>
      </w:pPr>
      <w:r>
        <w:rPr>
          <w:rFonts w:ascii="Courier New" w:cs="Courier New" w:eastAsia="Courier New" w:hAnsi="Courier New"/>
          <w:b/>
          <w:bCs/>
          <w:color w:val="1B2A4A"/>
          <w:sz w:val="18"/>
          <w:szCs w:val="18"/>
        </w:rPr>
        <w:t xml:space="preserve">§8.9  </w:t>
      </w:r>
      <w:r>
        <w:rPr>
          <w:rFonts w:ascii="Garamond" w:cs="Garamond" w:eastAsia="Garamond" w:hAnsi="Garamond"/>
          <w:b/>
          <w:bCs/>
          <w:color w:val="1B2A4A"/>
          <w:sz w:val="22"/>
          <w:szCs w:val="22"/>
        </w:rPr>
        <w:t xml:space="preserve">State Designee Panel</w:t>
      </w:r>
    </w:p>
    <w:p>
      <w:pPr>
        <w:spacing w:after="120" w:before="0"/>
        <w:ind w:left="431"/>
        <w:jc w:val="both"/>
      </w:pPr>
      <w:r>
        <w:rPr>
          <w:rFonts w:ascii="Garamond" w:cs="Garamond" w:eastAsia="Garamond" w:hAnsi="Garamond"/>
          <w:color w:val="2a2520"/>
          <w:sz w:val="22"/>
          <w:szCs w:val="22"/>
        </w:rPr>
        <w:t xml:space="preserve">The State Designee Panel is a verification body constituted per proceeding whose sole constitutional function is to assess, prior to any qualifying For-Cause removal vote by the Legislature, whether the stated grounds for removal are substantiated within the enumerated constitutional categories. The Panel publishes a binary finding — grounds substantiated or grounds unsubstantiated — and the Legislature may proceed to any removal vote regardless of the finding's direction. The Panel has no investigative authority and no institutional presence outside of active proceedings. It is a verification body, not a court.</w:t>
      </w:r>
    </w:p>
    <w:p>
      <w:pPr>
        <w:spacing w:after="60" w:before="200"/>
        <w:ind w:left="863"/>
      </w:pPr>
      <w:r>
        <w:rPr>
          <w:rFonts w:ascii="Courier New" w:cs="Courier New" w:eastAsia="Courier New" w:hAnsi="Courier New"/>
          <w:b/>
          <w:bCs/>
          <w:color w:val="1B2A4A"/>
          <w:sz w:val="18"/>
          <w:szCs w:val="18"/>
        </w:rPr>
        <w:t xml:space="preserve">§8.9.a  </w:t>
      </w:r>
      <w:r>
        <w:rPr>
          <w:rFonts w:ascii="Garamond" w:cs="Garamond" w:eastAsia="Garamond" w:hAnsi="Garamond"/>
          <w:b/>
          <w:bCs/>
          <w:color w:val="1B2A4A"/>
          <w:sz w:val="22"/>
          <w:szCs w:val="22"/>
        </w:rPr>
        <w:t xml:space="preserve">State Designee Pools</w:t>
      </w:r>
    </w:p>
    <w:p>
      <w:pPr>
        <w:spacing w:after="120" w:before="0"/>
        <w:ind w:left="863"/>
        <w:jc w:val="both"/>
      </w:pPr>
      <w:r>
        <w:rPr>
          <w:rFonts w:ascii="Garamond" w:cs="Garamond" w:eastAsia="Garamond" w:hAnsi="Garamond"/>
          <w:color w:val="2a2520"/>
          <w:sz w:val="22"/>
          <w:szCs w:val="22"/>
        </w:rPr>
        <w:t xml:space="preserve">Each State maintains a standing State Designee Pool. Any Republic citizen may be placed into a State's Pool through that State's own constitutional or statutory process, provided they meet the following eligibility requirements at the time of entry: (1) at least five continuous years of Republic citizenship; (2) no current federal elected or appointed office; (3) no federal elected or appointed office held within the three years prior to pool entry; (4) no pending federal criminal proceedings; (5) no current service in any Panel constituted under this Article. Pool membership is a public record maintained on the NRS by the LI. A member whose position is extinguished upon completing service in a proceeding may be re-added to the pool by their State in any subsequent calendar year within the annual addition cap.</w:t>
      </w:r>
    </w:p>
    <w:p>
      <w:pPr>
        <w:spacing w:after="60" w:before="200"/>
        <w:ind w:left="863"/>
      </w:pPr>
      <w:r>
        <w:rPr>
          <w:rFonts w:ascii="Courier New" w:cs="Courier New" w:eastAsia="Courier New" w:hAnsi="Courier New"/>
          <w:b/>
          <w:bCs/>
          <w:color w:val="1B2A4A"/>
          <w:sz w:val="18"/>
          <w:szCs w:val="18"/>
        </w:rPr>
        <w:t xml:space="preserve">§8.9.b  </w:t>
      </w:r>
      <w:r>
        <w:rPr>
          <w:rFonts w:ascii="Garamond" w:cs="Garamond" w:eastAsia="Garamond" w:hAnsi="Garamond"/>
          <w:b/>
          <w:bCs/>
          <w:color w:val="1B2A4A"/>
          <w:sz w:val="22"/>
          <w:szCs w:val="22"/>
        </w:rPr>
        <w:t xml:space="preserve">Annual Addition Cap</w:t>
      </w:r>
    </w:p>
    <w:p>
      <w:pPr>
        <w:spacing w:after="120" w:before="0"/>
        <w:ind w:left="863"/>
        <w:jc w:val="both"/>
      </w:pPr>
      <w:r>
        <w:rPr>
          <w:rFonts w:ascii="Garamond" w:cs="Garamond" w:eastAsia="Garamond" w:hAnsi="Garamond"/>
          <w:color w:val="2a2520"/>
          <w:sz w:val="22"/>
          <w:szCs w:val="22"/>
        </w:rPr>
        <w:t xml:space="preserve">Each State may add no more than five entrants to its Pool per calendar year. Unused addition slots do not carry forward; a year with fewer than five additions simply has fewer, and unused capacity is permanently lost. If a pool member voluntarily withdraws, becomes ineligible, or is drawn to serve in a proceeding, their position is extinguished and not replaced outside of the normal annual addition process and the mandatory designation provision of §8.9.b.i.</w:t>
      </w:r>
    </w:p>
    <w:p>
      <w:pPr>
        <w:spacing w:after="60" w:before="200"/>
        <w:ind w:left="1296"/>
      </w:pPr>
      <w:r>
        <w:rPr>
          <w:rFonts w:ascii="Courier New" w:cs="Courier New" w:eastAsia="Courier New" w:hAnsi="Courier New"/>
          <w:b/>
          <w:bCs/>
          <w:color w:val="1B2A4A"/>
          <w:sz w:val="18"/>
          <w:szCs w:val="18"/>
        </w:rPr>
        <w:t xml:space="preserve">§8.9.b.i  </w:t>
      </w:r>
      <w:r>
        <w:rPr>
          <w:rFonts w:ascii="Garamond" w:cs="Garamond" w:eastAsia="Garamond" w:hAnsi="Garamond"/>
          <w:b/>
          <w:bCs/>
          <w:color w:val="1B2A4A"/>
          <w:sz w:val="22"/>
          <w:szCs w:val="22"/>
        </w:rPr>
        <w:t xml:space="preserve">Mandatory State Designation</w:t>
      </w:r>
    </w:p>
    <w:p>
      <w:pPr>
        <w:spacing w:after="120" w:before="0"/>
        <w:ind w:left="1296"/>
        <w:jc w:val="both"/>
      </w:pPr>
      <w:r>
        <w:rPr>
          <w:rFonts w:ascii="Garamond" w:cs="Garamond" w:eastAsia="Garamond" w:hAnsi="Garamond"/>
          <w:color w:val="2a2520"/>
          <w:sz w:val="22"/>
          <w:szCs w:val="22"/>
        </w:rPr>
        <w:t xml:space="preserve">If the combined national pool contains fewer than thirty eligible members at the time any proceeding is activated, or if any State has made zero additions to its Pool for three or more consecutive calendar years and its Pool contains fewer than two eligible members, the JI issues a Mandatory Designation Notice to each State meeting either condition. Each notified State must designate one eligible person to its Pool within ten days of the notice. Designated persons must meet all eligibility requirements of §8.9.a; the mandatory designation process does not lower the eligibility standard. Mandatory designations are not subject to the annual addition cap of §8.9.b and do not consume a voluntary addition slot. Failure to make a mandatory designation within the required period is a constitutional compliance failure flagged by the LI in the annual State of the Republic Report and in a standalone NRS notice. The EI assumes mandatory designation oversight when an LI IG removal proceeding is the triggering event.</w:t>
      </w:r>
    </w:p>
    <w:p>
      <w:pPr>
        <w:spacing w:after="60" w:before="200"/>
        <w:ind w:left="863"/>
      </w:pPr>
      <w:r>
        <w:rPr>
          <w:rFonts w:ascii="Courier New" w:cs="Courier New" w:eastAsia="Courier New" w:hAnsi="Courier New"/>
          <w:b/>
          <w:bCs/>
          <w:color w:val="1B2A4A"/>
          <w:sz w:val="18"/>
          <w:szCs w:val="18"/>
        </w:rPr>
        <w:t xml:space="preserve">§8.9.c  </w:t>
      </w:r>
      <w:r>
        <w:rPr>
          <w:rFonts w:ascii="Garamond" w:cs="Garamond" w:eastAsia="Garamond" w:hAnsi="Garamond"/>
          <w:b/>
          <w:bCs/>
          <w:color w:val="1B2A4A"/>
          <w:sz w:val="22"/>
          <w:szCs w:val="22"/>
        </w:rPr>
        <w:t xml:space="preserve">Pool Monitoring</w:t>
      </w:r>
    </w:p>
    <w:p>
      <w:pPr>
        <w:spacing w:after="120" w:before="0"/>
        <w:ind w:left="863"/>
        <w:jc w:val="both"/>
      </w:pPr>
      <w:r>
        <w:rPr>
          <w:rFonts w:ascii="Garamond" w:cs="Garamond" w:eastAsia="Garamond" w:hAnsi="Garamond"/>
          <w:color w:val="2a2520"/>
          <w:sz w:val="22"/>
          <w:szCs w:val="22"/>
        </w:rPr>
        <w:t xml:space="preserve">The LI monitors each State's Pool and publishes an annual Pool Status Report to the NRS. If any State's Pool falls below two eligible entrants, the LI publishes a Pool Health Notice — advisory, not compulsory. If the combined national pool falls below twenty eligible members at the time any proceeding is activated, the LI must convene an emergency pool-health session with State governments and publish its findings to the NRS within 30 days. A State's failure to maintain a pool is not a constitutional violation but is flagged in the annual State of the Republic Report. Exception: when an LI IG removal proceeding is active, the EI assumes pool monitoring duties for the duration of that proceeding.</w:t>
      </w:r>
    </w:p>
    <w:p>
      <w:pPr>
        <w:spacing w:after="60" w:before="200"/>
        <w:ind w:left="863"/>
      </w:pPr>
      <w:r>
        <w:rPr>
          <w:rFonts w:ascii="Courier New" w:cs="Courier New" w:eastAsia="Courier New" w:hAnsi="Courier New"/>
          <w:b/>
          <w:bCs/>
          <w:color w:val="1B2A4A"/>
          <w:sz w:val="18"/>
          <w:szCs w:val="18"/>
        </w:rPr>
        <w:t xml:space="preserve">§8.9.d  </w:t>
      </w:r>
      <w:r>
        <w:rPr>
          <w:rFonts w:ascii="Garamond" w:cs="Garamond" w:eastAsia="Garamond" w:hAnsi="Garamond"/>
          <w:b/>
          <w:bCs/>
          <w:color w:val="1B2A4A"/>
          <w:sz w:val="22"/>
          <w:szCs w:val="22"/>
        </w:rPr>
        <w:t xml:space="preserve">Panel Constitution</w:t>
      </w:r>
    </w:p>
    <w:p>
      <w:pPr>
        <w:spacing w:after="120" w:before="0"/>
        <w:ind w:left="863"/>
        <w:jc w:val="both"/>
      </w:pPr>
      <w:r>
        <w:rPr>
          <w:rFonts w:ascii="Garamond" w:cs="Garamond" w:eastAsia="Garamond" w:hAnsi="Garamond"/>
          <w:color w:val="2a2520"/>
          <w:sz w:val="22"/>
          <w:szCs w:val="22"/>
        </w:rPr>
        <w:t xml:space="preserve">Upon activation of a qualifying proceeding under §8.9.f, the JI constitutes the State Designee Panel by public lottery within five days of activation. The JI draws five members by lot from the combined national eligible pool — all State pools aggregated — plus two alternates, in a single session certified jointly by all three Inspectorates. The session may be conducted remotely under parameters set by statute. The full draw is recorded to the NRS in real time. Drawn members must accept or decline service within 48 hours of notification; a member who declines is replaced by the first available alternate in the order drawn. If both alternates are exhausted before five members have accepted, the JI conducts a supplemental draw from the remaining eligible pool by the same procedure. The Panel is constituted for the duration of the proceeding and dissolves upon publication of the finding under §8.9.h.</w:t>
      </w:r>
    </w:p>
    <w:p>
      <w:pPr>
        <w:spacing w:after="60" w:before="200"/>
        <w:ind w:left="1296"/>
      </w:pPr>
      <w:r>
        <w:rPr>
          <w:rFonts w:ascii="Courier New" w:cs="Courier New" w:eastAsia="Courier New" w:hAnsi="Courier New"/>
          <w:b/>
          <w:bCs/>
          <w:color w:val="1B2A4A"/>
          <w:sz w:val="18"/>
          <w:szCs w:val="18"/>
        </w:rPr>
        <w:t xml:space="preserve">§8.9.d.i  </w:t>
      </w:r>
      <w:r>
        <w:rPr>
          <w:rFonts w:ascii="Garamond" w:cs="Garamond" w:eastAsia="Garamond" w:hAnsi="Garamond"/>
          <w:b/>
          <w:bCs/>
          <w:color w:val="1B2A4A"/>
          <w:sz w:val="22"/>
          <w:szCs w:val="22"/>
        </w:rPr>
        <w:t xml:space="preserve">Draw Challenge</w:t>
      </w:r>
    </w:p>
    <w:p>
      <w:pPr>
        <w:spacing w:after="120" w:before="0"/>
        <w:ind w:left="1296"/>
        <w:jc w:val="both"/>
      </w:pPr>
      <w:r>
        <w:rPr>
          <w:rFonts w:ascii="Garamond" w:cs="Garamond" w:eastAsia="Garamond" w:hAnsi="Garamond"/>
          <w:color w:val="2a2520"/>
          <w:sz w:val="22"/>
          <w:szCs w:val="22"/>
        </w:rPr>
        <w:t xml:space="preserve">The named officer subject to the proceeding, or the initiating body, may challenge a drawn member within 48 hours of NRS publication of the draw on grounds of a documented relationship or conflict of interest impairing impartiality. The JI rules on any challenge within 48 hours of filing. If sustained, the challenged member's seat is filled by the first available alternate in the order drawn; if no alternate remains, a supplemental draw is conducted. The 21-day review clock under §8.9.f is suspended during any pending challenge and resumes from the point of suspension upon JI ruling. No challenge may be filed solely on grounds of the member's State of origin, professional background, or prior pool membership.</w:t>
      </w:r>
    </w:p>
    <w:p>
      <w:pPr>
        <w:spacing w:after="60" w:before="200"/>
        <w:ind w:left="863"/>
      </w:pPr>
      <w:r>
        <w:rPr>
          <w:rFonts w:ascii="Courier New" w:cs="Courier New" w:eastAsia="Courier New" w:hAnsi="Courier New"/>
          <w:b/>
          <w:bCs/>
          <w:color w:val="1B2A4A"/>
          <w:sz w:val="18"/>
          <w:szCs w:val="18"/>
        </w:rPr>
        <w:t xml:space="preserve">§8.9.e  </w:t>
      </w:r>
      <w:r>
        <w:rPr>
          <w:rFonts w:ascii="Garamond" w:cs="Garamond" w:eastAsia="Garamond" w:hAnsi="Garamond"/>
          <w:b/>
          <w:bCs/>
          <w:color w:val="1B2A4A"/>
          <w:sz w:val="22"/>
          <w:szCs w:val="22"/>
        </w:rPr>
        <w:t xml:space="preserve">Ongoing Eligibility</w:t>
      </w:r>
    </w:p>
    <w:p>
      <w:pPr>
        <w:spacing w:after="120" w:before="0"/>
        <w:ind w:left="863"/>
        <w:jc w:val="both"/>
      </w:pPr>
      <w:r>
        <w:rPr>
          <w:rFonts w:ascii="Garamond" w:cs="Garamond" w:eastAsia="Garamond" w:hAnsi="Garamond"/>
          <w:color w:val="2a2520"/>
          <w:sz w:val="22"/>
          <w:szCs w:val="22"/>
        </w:rPr>
        <w:t xml:space="preserve">From the date a member accepts service through the date the Panel's finding is published, Panel members may not: assume any federal elected or appointed position; serve as retained legal counsel in any federal proceeding involving the Legislature, either executive, or any Inspectorate; or accept appointment to any State government executive position above the level of department director. Assumption of a disqualifying position extinguishes the seat; the first available alternate fills it in the order established at draw. A member may recuse themselves at any time; recusal extinguishes the seat without replacement beyond the available alternates.</w:t>
      </w:r>
    </w:p>
    <w:p>
      <w:pPr>
        <w:spacing w:after="60" w:before="200"/>
        <w:ind w:left="863"/>
      </w:pPr>
      <w:r>
        <w:rPr>
          <w:rFonts w:ascii="Courier New" w:cs="Courier New" w:eastAsia="Courier New" w:hAnsi="Courier New"/>
          <w:b/>
          <w:bCs/>
          <w:color w:val="1B2A4A"/>
          <w:sz w:val="18"/>
          <w:szCs w:val="18"/>
        </w:rPr>
        <w:t xml:space="preserve">§8.9.f  </w:t>
      </w:r>
      <w:r>
        <w:rPr>
          <w:rFonts w:ascii="Garamond" w:cs="Garamond" w:eastAsia="Garamond" w:hAnsi="Garamond"/>
          <w:b/>
          <w:bCs/>
          <w:color w:val="1B2A4A"/>
          <w:sz w:val="22"/>
          <w:szCs w:val="22"/>
        </w:rPr>
        <w:t xml:space="preserve">Activation and Meeting Parameters</w:t>
      </w:r>
    </w:p>
    <w:p>
      <w:pPr>
        <w:spacing w:after="120" w:before="0"/>
        <w:ind w:left="863"/>
        <w:jc w:val="both"/>
      </w:pPr>
      <w:r>
        <w:rPr>
          <w:rFonts w:ascii="Garamond" w:cs="Garamond" w:eastAsia="Garamond" w:hAnsi="Garamond"/>
          <w:color w:val="2a2520"/>
          <w:sz w:val="22"/>
          <w:szCs w:val="22"/>
        </w:rPr>
        <w:t xml:space="preserve">A qualifying proceeding is initiated when the initiating body transmits the stated grounds and supporting documentary record to the JI, triggering the draw under §8.9.d. The 21-day review clock begins from the date the Panel is fully constituted — five members having accepted service and any draw challenges under §8.9.d.i having been resolved. The Legislature sets by statute the parameters under which the Panel conducts its review, including: authorization of and requirements for remote participation; quorum and voting requirements; secure platform specifications; and any other operational parameters. The Legislature may not set parameters that prevent effective deliberation or impose undue burden on members. The Panel may request additional documentary submissions from the initiating body within the first seven days of the review period; this does not extend the 21-day deadline. No submission received after day seven is required to be considered.</w:t>
      </w:r>
    </w:p>
    <w:p>
      <w:pPr>
        <w:spacing w:after="60" w:before="200"/>
        <w:ind w:left="863"/>
      </w:pPr>
      <w:r>
        <w:rPr>
          <w:rFonts w:ascii="Courier New" w:cs="Courier New" w:eastAsia="Courier New" w:hAnsi="Courier New"/>
          <w:b/>
          <w:bCs/>
          <w:color w:val="1B2A4A"/>
          <w:sz w:val="18"/>
          <w:szCs w:val="18"/>
        </w:rPr>
        <w:t xml:space="preserve">§8.9.g  </w:t>
      </w:r>
      <w:r>
        <w:rPr>
          <w:rFonts w:ascii="Garamond" w:cs="Garamond" w:eastAsia="Garamond" w:hAnsi="Garamond"/>
          <w:b/>
          <w:bCs/>
          <w:color w:val="1B2A4A"/>
          <w:sz w:val="22"/>
          <w:szCs w:val="22"/>
        </w:rPr>
        <w:t xml:space="preserve">Scope of Review</w:t>
      </w:r>
    </w:p>
    <w:p>
      <w:pPr>
        <w:spacing w:after="120" w:before="0"/>
        <w:ind w:left="863"/>
        <w:jc w:val="both"/>
      </w:pPr>
      <w:r>
        <w:rPr>
          <w:rFonts w:ascii="Garamond" w:cs="Garamond" w:eastAsia="Garamond" w:hAnsi="Garamond"/>
          <w:color w:val="2a2520"/>
          <w:sz w:val="22"/>
          <w:szCs w:val="22"/>
        </w:rPr>
        <w:t xml:space="preserve">The Panel's review is categorical and bounded. The Panel determines only whether the stated grounds, as documented in the submitted record, constitute at least one of the enumerated constitutional categories for For-Cause removal applicable to the subject office. The Panel does not: independently investigate or gather evidence beyond the submitted record; assess the credibility of any witness or document; weigh competing factual accounts; evaluate whether removal is warranted as a policy matter; or issue any order, direction, or recommendation beyond the binary finding. The published finding states the conclusion and identifies which constitutional category or categories it finds present or absent in the submitted record.</w:t>
      </w:r>
    </w:p>
    <w:p>
      <w:pPr>
        <w:spacing w:after="60" w:before="200"/>
        <w:ind w:left="863"/>
      </w:pPr>
      <w:r>
        <w:rPr>
          <w:rFonts w:ascii="Courier New" w:cs="Courier New" w:eastAsia="Courier New" w:hAnsi="Courier New"/>
          <w:b/>
          <w:bCs/>
          <w:color w:val="1B2A4A"/>
          <w:sz w:val="18"/>
          <w:szCs w:val="18"/>
        </w:rPr>
        <w:t xml:space="preserve">§8.9.h  </w:t>
      </w:r>
      <w:r>
        <w:rPr>
          <w:rFonts w:ascii="Garamond" w:cs="Garamond" w:eastAsia="Garamond" w:hAnsi="Garamond"/>
          <w:b/>
          <w:bCs/>
          <w:color w:val="1B2A4A"/>
          <w:sz w:val="22"/>
          <w:szCs w:val="22"/>
        </w:rPr>
        <w:t xml:space="preserve">Effect of Finding</w:t>
      </w:r>
    </w:p>
    <w:p>
      <w:pPr>
        <w:spacing w:after="120" w:before="0"/>
        <w:ind w:left="863"/>
        <w:jc w:val="both"/>
      </w:pPr>
      <w:r>
        <w:rPr>
          <w:rFonts w:ascii="Garamond" w:cs="Garamond" w:eastAsia="Garamond" w:hAnsi="Garamond"/>
          <w:color w:val="2a2520"/>
          <w:sz w:val="22"/>
          <w:szCs w:val="22"/>
        </w:rPr>
        <w:t xml:space="preserve">A finding of grounds substantiated: constitutes the condition precedent that authorizes the Legislature to proceed to a For-Cause removal vote at the applicable threshold; triggers the duty-suspension provisions of §8.5.a or §16.2.a as applicable; and is published permanently to the NRS alongside any subsequent legislative vote. A finding of grounds unsubstantiated: does not bar the Legislature from proceeding to a removal vote; is published permanently to the NRS alongside any subsequent legislative vote; and constitutes no legal determination as to the truth or falsity of the stated grounds. All constitutional voting thresholds for removal remain in effect regardless of the Panel's finding.</w:t>
      </w:r>
    </w:p>
    <w:p>
      <w:pPr>
        <w:spacing w:after="60" w:before="200"/>
        <w:ind w:left="863"/>
      </w:pPr>
      <w:r>
        <w:rPr>
          <w:rFonts w:ascii="Courier New" w:cs="Courier New" w:eastAsia="Courier New" w:hAnsi="Courier New"/>
          <w:b/>
          <w:bCs/>
          <w:color w:val="1B2A4A"/>
          <w:sz w:val="18"/>
          <w:szCs w:val="18"/>
        </w:rPr>
        <w:t xml:space="preserve">§8.9.i  </w:t>
      </w:r>
      <w:r>
        <w:rPr>
          <w:rFonts w:ascii="Garamond" w:cs="Garamond" w:eastAsia="Garamond" w:hAnsi="Garamond"/>
          <w:b/>
          <w:bCs/>
          <w:color w:val="1B2A4A"/>
          <w:sz w:val="22"/>
          <w:szCs w:val="22"/>
        </w:rPr>
        <w:t xml:space="preserve">SC Review</w:t>
      </w:r>
    </w:p>
    <w:p>
      <w:pPr>
        <w:spacing w:after="120" w:before="0"/>
        <w:ind w:left="863"/>
        <w:jc w:val="both"/>
      </w:pPr>
      <w:r>
        <w:rPr>
          <w:rFonts w:ascii="Garamond" w:cs="Garamond" w:eastAsia="Garamond" w:hAnsi="Garamond"/>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863"/>
      </w:pPr>
      <w:r>
        <w:rPr>
          <w:rFonts w:ascii="Courier New" w:cs="Courier New" w:eastAsia="Courier New" w:hAnsi="Courier New"/>
          <w:b/>
          <w:bCs/>
          <w:color w:val="1B2A4A"/>
          <w:sz w:val="18"/>
          <w:szCs w:val="18"/>
        </w:rPr>
        <w:t xml:space="preserve">§8.9.j  </w:t>
      </w:r>
      <w:r>
        <w:rPr>
          <w:rFonts w:ascii="Garamond" w:cs="Garamond" w:eastAsia="Garamond" w:hAnsi="Garamond"/>
          <w:b/>
          <w:bCs/>
          <w:color w:val="1B2A4A"/>
          <w:sz w:val="22"/>
          <w:szCs w:val="22"/>
        </w:rPr>
        <w:t xml:space="preserve">Compensation</w:t>
      </w:r>
    </w:p>
    <w:p>
      <w:pPr>
        <w:spacing w:after="120" w:before="0"/>
        <w:ind w:left="863"/>
        <w:jc w:val="both"/>
      </w:pPr>
      <w:r>
        <w:rPr>
          <w:rFonts w:ascii="Garamond" w:cs="Garamond" w:eastAsia="Garamond" w:hAnsi="Garamond"/>
          <w:color w:val="2a2520"/>
          <w:sz w:val="22"/>
          <w:szCs w:val="22"/>
        </w:rPr>
        <w:t xml:space="preserve">Panel members receive no compensation for pool membership. Members receive service-day compensation for each day of active service during a constituted proceeding, from the date of acceptance through the date of finding publication. Rates and any remote service equivalencies are set by statute. The member's State pays the service-day compensation; the federal government reimburses each State for compensation paid to its drawn member. Service-day records and compensation amounts are published to the NRS alongside each Panel finding.</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IX — The National Record System</w:t>
      </w:r>
    </w:p>
    <w:p>
      <w:pPr>
        <w:spacing w:after="120"/>
      </w:pPr>
    </w:p>
    <w:p>
      <w:pPr>
        <w:spacing w:after="60" w:before="200"/>
        <w:ind w:left="431"/>
      </w:pPr>
      <w:r>
        <w:rPr>
          <w:rFonts w:ascii="Courier New" w:cs="Courier New" w:eastAsia="Courier New" w:hAnsi="Courier New"/>
          <w:b/>
          <w:bCs/>
          <w:color w:val="1B2A4A"/>
          <w:sz w:val="18"/>
          <w:szCs w:val="18"/>
        </w:rPr>
        <w:t xml:space="preserve">§9.1  </w:t>
      </w:r>
      <w:r>
        <w:rPr>
          <w:rFonts w:ascii="Garamond" w:cs="Garamond" w:eastAsia="Garamond" w:hAnsi="Garamond"/>
          <w:b/>
          <w:bCs/>
          <w:color w:val="1B2A4A"/>
          <w:sz w:val="22"/>
          <w:szCs w:val="22"/>
        </w:rPr>
        <w:t xml:space="preserve">NRS Properties</w:t>
      </w:r>
    </w:p>
    <w:p>
      <w:pPr>
        <w:spacing w:after="120" w:before="0"/>
        <w:ind w:left="431"/>
        <w:jc w:val="both"/>
      </w:pPr>
      <w:r>
        <w:rPr>
          <w:rFonts w:ascii="Garamond" w:cs="Garamond" w:eastAsia="Garamond" w:hAnsi="Garamond"/>
          <w:color w:val="2a2520"/>
          <w:sz w:val="22"/>
          <w:szCs w:val="22"/>
        </w:rPr>
        <w:t xml:space="preserve">The National Record System — the constitutional backbone of transparency. Permanent, tamper-evident, freely accessible to every Inhabitant at no cost. Every government act required to be published must be on the NRS before it takes legal effect. The NRS is the definitive public record of the Republic — if something happened in government and it is not on the NRS, it is constitutionally suspect.</w:t>
      </w:r>
    </w:p>
    <w:p>
      <w:pPr>
        <w:spacing w:after="60" w:before="200"/>
        <w:ind w:left="863"/>
      </w:pPr>
      <w:r>
        <w:rPr>
          <w:rFonts w:ascii="Courier New" w:cs="Courier New" w:eastAsia="Courier New" w:hAnsi="Courier New"/>
          <w:b/>
          <w:bCs/>
          <w:color w:val="1B2A4A"/>
          <w:sz w:val="18"/>
          <w:szCs w:val="18"/>
        </w:rPr>
        <w:t xml:space="preserve">§9.1.a  </w:t>
      </w:r>
      <w:r>
        <w:rPr>
          <w:rFonts w:ascii="Garamond" w:cs="Garamond" w:eastAsia="Garamond" w:hAnsi="Garamond"/>
          <w:b/>
          <w:bCs/>
          <w:color w:val="1B2A4A"/>
          <w:sz w:val="22"/>
          <w:szCs w:val="22"/>
        </w:rPr>
        <w:t xml:space="preserve">Immutability</w:t>
      </w:r>
    </w:p>
    <w:p>
      <w:pPr>
        <w:spacing w:after="120" w:before="0"/>
        <w:ind w:left="863"/>
        <w:jc w:val="both"/>
      </w:pPr>
      <w:r>
        <w:rPr>
          <w:rFonts w:ascii="Garamond" w:cs="Garamond" w:eastAsia="Garamond" w:hAnsi="Garamond"/>
          <w:color w:val="2a2520"/>
          <w:sz w:val="22"/>
          <w:szCs w:val="22"/>
        </w:rPr>
        <w:t xml:space="preserve">NRS Permanence — 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863"/>
      </w:pPr>
      <w:r>
        <w:rPr>
          <w:rFonts w:ascii="Courier New" w:cs="Courier New" w:eastAsia="Courier New" w:hAnsi="Courier New"/>
          <w:b/>
          <w:bCs/>
          <w:color w:val="1B2A4A"/>
          <w:sz w:val="18"/>
          <w:szCs w:val="18"/>
        </w:rPr>
        <w:t xml:space="preserve">§9.1.b  </w:t>
      </w:r>
      <w:r>
        <w:rPr>
          <w:rFonts w:ascii="Garamond" w:cs="Garamond" w:eastAsia="Garamond" w:hAnsi="Garamond"/>
          <w:b/>
          <w:bCs/>
          <w:color w:val="1B2A4A"/>
          <w:sz w:val="22"/>
          <w:szCs w:val="22"/>
        </w:rPr>
        <w:t xml:space="preserve">Distributed Custody</w:t>
      </w:r>
    </w:p>
    <w:p>
      <w:pPr>
        <w:spacing w:after="120" w:before="0"/>
        <w:ind w:left="863"/>
        <w:jc w:val="both"/>
      </w:pPr>
      <w:r>
        <w:rPr>
          <w:rFonts w:ascii="Garamond" w:cs="Garamond" w:eastAsia="Garamond" w:hAnsi="Garamond"/>
          <w:color w:val="2a2520"/>
          <w:sz w:val="22"/>
          <w:szCs w:val="22"/>
        </w:rPr>
        <w:t xml:space="preserve">NRS Access — 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863"/>
      </w:pPr>
      <w:r>
        <w:rPr>
          <w:rFonts w:ascii="Courier New" w:cs="Courier New" w:eastAsia="Courier New" w:hAnsi="Courier New"/>
          <w:b/>
          <w:bCs/>
          <w:color w:val="1B2A4A"/>
          <w:sz w:val="18"/>
          <w:szCs w:val="18"/>
        </w:rPr>
        <w:t xml:space="preserve">§9.1.c  </w:t>
      </w:r>
      <w:r>
        <w:rPr>
          <w:rFonts w:ascii="Garamond" w:cs="Garamond" w:eastAsia="Garamond" w:hAnsi="Garamond"/>
          <w:b/>
          <w:bCs/>
          <w:color w:val="1B2A4A"/>
          <w:sz w:val="22"/>
          <w:szCs w:val="22"/>
        </w:rPr>
        <w:t xml:space="preserve">Public Accessibility</w:t>
      </w:r>
    </w:p>
    <w:p>
      <w:pPr>
        <w:spacing w:after="120" w:before="0"/>
        <w:ind w:left="863"/>
        <w:jc w:val="both"/>
      </w:pPr>
      <w:r>
        <w:rPr>
          <w:rFonts w:ascii="Garamond" w:cs="Garamond" w:eastAsia="Garamond" w:hAnsi="Garamond"/>
          <w:color w:val="2a2520"/>
          <w:sz w:val="22"/>
          <w:szCs w:val="22"/>
        </w:rPr>
        <w:t xml:space="preserve">NRS Publication Requirements — 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863"/>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Cryptographic Signing</w:t>
      </w:r>
    </w:p>
    <w:p>
      <w:pPr>
        <w:spacing w:after="120" w:before="0"/>
        <w:ind w:left="863"/>
        <w:jc w:val="both"/>
      </w:pPr>
      <w:r>
        <w:rPr>
          <w:rFonts w:ascii="Garamond" w:cs="Garamond" w:eastAsia="Garamond" w:hAnsi="Garamond"/>
          <w:color w:val="2a2520"/>
          <w:sz w:val="22"/>
          <w:szCs w:val="22"/>
        </w:rPr>
        <w:t xml:space="preserve">NRS Technical Standards — 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863"/>
      </w:pPr>
      <w:r>
        <w:rPr>
          <w:rFonts w:ascii="Courier New" w:cs="Courier New" w:eastAsia="Courier New" w:hAnsi="Courier New"/>
          <w:b/>
          <w:bCs/>
          <w:color w:val="1B2A4A"/>
          <w:sz w:val="18"/>
          <w:szCs w:val="18"/>
        </w:rPr>
        <w:t xml:space="preserve">§9.1.e  </w:t>
      </w:r>
      <w:r>
        <w:rPr>
          <w:rFonts w:ascii="Garamond" w:cs="Garamond" w:eastAsia="Garamond" w:hAnsi="Garamond"/>
          <w:b/>
          <w:bCs/>
          <w:color w:val="1B2A4A"/>
          <w:sz w:val="22"/>
          <w:szCs w:val="22"/>
        </w:rPr>
        <w:t xml:space="preserve">Technology Neutrality</w:t>
      </w:r>
    </w:p>
    <w:p>
      <w:pPr>
        <w:spacing w:after="120" w:before="0"/>
        <w:ind w:left="863"/>
        <w:jc w:val="both"/>
      </w:pPr>
      <w:r>
        <w:rPr>
          <w:rFonts w:ascii="Garamond" w:cs="Garamond" w:eastAsia="Garamond" w:hAnsi="Garamond"/>
          <w:color w:val="2a2520"/>
          <w:sz w:val="22"/>
          <w:szCs w:val="22"/>
        </w:rPr>
        <w:t xml:space="preserve">NRS Integrity Audit — 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863"/>
      </w:pPr>
      <w:r>
        <w:rPr>
          <w:rFonts w:ascii="Courier New" w:cs="Courier New" w:eastAsia="Courier New" w:hAnsi="Courier New"/>
          <w:b/>
          <w:bCs/>
          <w:color w:val="1B2A4A"/>
          <w:sz w:val="18"/>
          <w:szCs w:val="18"/>
        </w:rPr>
        <w:t xml:space="preserve">§9.1.f  </w:t>
      </w:r>
      <w:r>
        <w:rPr>
          <w:rFonts w:ascii="Garamond" w:cs="Garamond" w:eastAsia="Garamond" w:hAnsi="Garamond"/>
          <w:b/>
          <w:bCs/>
          <w:color w:val="1B2A4A"/>
          <w:sz w:val="22"/>
          <w:szCs w:val="22"/>
        </w:rPr>
        <w:t xml:space="preserve">Migration Overlap Protocol</w:t>
      </w:r>
    </w:p>
    <w:p>
      <w:pPr>
        <w:spacing w:after="120" w:before="0"/>
        <w:ind w:left="863"/>
        <w:jc w:val="both"/>
      </w:pPr>
      <w:r>
        <w:rPr>
          <w:rFonts w:ascii="Garamond" w:cs="Garamond" w:eastAsia="Garamond" w:hAnsi="Garamond"/>
          <w:color w:val="2a2520"/>
          <w:sz w:val="22"/>
          <w:szCs w:val="22"/>
        </w:rPr>
        <w:t xml:space="preserve">Third-Party NRS Mirrors — 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863"/>
      </w:pPr>
      <w:r>
        <w:rPr>
          <w:rFonts w:ascii="Courier New" w:cs="Courier New" w:eastAsia="Courier New" w:hAnsi="Courier New"/>
          <w:b/>
          <w:bCs/>
          <w:color w:val="1B2A4A"/>
          <w:sz w:val="18"/>
          <w:szCs w:val="18"/>
        </w:rPr>
        <w:t xml:space="preserve">§9.1.g  </w:t>
      </w:r>
      <w:r>
        <w:rPr>
          <w:rFonts w:ascii="Garamond" w:cs="Garamond" w:eastAsia="Garamond" w:hAnsi="Garamond"/>
          <w:b/>
          <w:bCs/>
          <w:color w:val="1B2A4A"/>
          <w:sz w:val="22"/>
          <w:szCs w:val="22"/>
        </w:rPr>
        <w:t xml:space="preserve">NRS Self-Authentication</w:t>
      </w:r>
    </w:p>
    <w:p>
      <w:pPr>
        <w:spacing w:after="120" w:before="0"/>
        <w:ind w:left="863"/>
        <w:jc w:val="both"/>
      </w:pPr>
      <w:r>
        <w:rPr>
          <w:rFonts w:ascii="Garamond" w:cs="Garamond" w:eastAsia="Garamond" w:hAnsi="Garamond"/>
          <w:color w:val="2a2520"/>
          <w:sz w:val="22"/>
          <w:szCs w:val="22"/>
        </w:rPr>
        <w:t xml:space="preserve">NRS Classification Exemption for Inspectorate Reports — 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431"/>
      </w:pPr>
      <w:r>
        <w:rPr>
          <w:rFonts w:ascii="Courier New" w:cs="Courier New" w:eastAsia="Courier New" w:hAnsi="Courier New"/>
          <w:b/>
          <w:bCs/>
          <w:color w:val="1B2A4A"/>
          <w:sz w:val="18"/>
          <w:szCs w:val="18"/>
        </w:rPr>
        <w:t xml:space="preserve">§9.2  </w:t>
      </w:r>
      <w:r>
        <w:rPr>
          <w:rFonts w:ascii="Garamond" w:cs="Garamond" w:eastAsia="Garamond" w:hAnsi="Garamond"/>
          <w:b/>
          <w:bCs/>
          <w:color w:val="1B2A4A"/>
          <w:sz w:val="22"/>
          <w:szCs w:val="22"/>
        </w:rPr>
        <w:t xml:space="preserve">Historical Records Preservation</w:t>
      </w:r>
    </w:p>
    <w:p>
      <w:pPr>
        <w:spacing w:after="120" w:before="0"/>
        <w:ind w:left="431"/>
        <w:jc w:val="both"/>
      </w:pPr>
      <w:r>
        <w:rPr>
          <w:rFonts w:ascii="Garamond" w:cs="Garamond" w:eastAsia="Garamond" w:hAnsi="Garamond"/>
          <w:color w:val="2a2520"/>
          <w:sz w:val="22"/>
          <w:szCs w:val="22"/>
        </w:rPr>
        <w:t xml:space="preserve">Historical Records Preservation — 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pPr>
      <w:r>
        <w:rPr>
          <w:rFonts w:ascii="Courier New" w:cs="Courier New" w:eastAsia="Courier New" w:hAnsi="Courier New"/>
          <w:b/>
          <w:bCs/>
          <w:color w:val="1B2A4A"/>
          <w:sz w:val="18"/>
          <w:szCs w:val="18"/>
        </w:rPr>
        <w:t xml:space="preserve">§9.3  </w:t>
      </w:r>
      <w:r>
        <w:rPr>
          <w:rFonts w:ascii="Garamond" w:cs="Garamond" w:eastAsia="Garamond" w:hAnsi="Garamond"/>
          <w:b/>
          <w:bCs/>
          <w:color w:val="1B2A4A"/>
          <w:sz w:val="22"/>
          <w:szCs w:val="22"/>
        </w:rPr>
        <w:t xml:space="preserve">Cross-Jurisdictional Record Recognition</w:t>
      </w:r>
    </w:p>
    <w:p>
      <w:pPr>
        <w:spacing w:after="120" w:before="0"/>
        <w:ind w:left="431"/>
        <w:jc w:val="both"/>
      </w:pPr>
      <w:r>
        <w:rPr>
          <w:rFonts w:ascii="Garamond" w:cs="Garamond" w:eastAsia="Garamond" w:hAnsi="Garamond"/>
          <w:color w:val="2a2520"/>
          <w:sz w:val="22"/>
          <w:szCs w:val="22"/>
        </w:rPr>
        <w:t xml:space="preserve">Cross-Jurisdictional Record Recognition — records published to the NRS by one jurisdiction within the Republic are recognized as authentic records by all other jurisdictions without further authentication. The practical foundation for §4.4.b's NRS Authentication provision.</w:t>
      </w:r>
    </w:p>
    <w:p>
      <w:pPr>
        <w:spacing w:after="60" w:before="200"/>
        <w:ind w:left="863"/>
      </w:pPr>
      <w:r>
        <w:rPr>
          <w:rFonts w:ascii="Courier New" w:cs="Courier New" w:eastAsia="Courier New" w:hAnsi="Courier New"/>
          <w:b/>
          <w:bCs/>
          <w:color w:val="1B2A4A"/>
          <w:sz w:val="18"/>
          <w:szCs w:val="18"/>
        </w:rPr>
        <w:t xml:space="preserve">§9.3.a  </w:t>
      </w:r>
      <w:r>
        <w:rPr>
          <w:rFonts w:ascii="Garamond" w:cs="Garamond" w:eastAsia="Garamond" w:hAnsi="Garamond"/>
          <w:b/>
          <w:bCs/>
          <w:color w:val="1B2A4A"/>
          <w:sz w:val="22"/>
          <w:szCs w:val="22"/>
        </w:rPr>
        <w:t xml:space="preserve">RSA Technical Integrity Commission</w:t>
      </w:r>
    </w:p>
    <w:p>
      <w:pPr>
        <w:spacing w:after="120" w:before="0"/>
        <w:ind w:left="863"/>
        <w:jc w:val="both"/>
      </w:pPr>
      <w:r>
        <w:rPr>
          <w:rFonts w:ascii="Garamond" w:cs="Garamond" w:eastAsia="Garamond" w:hAnsi="Garamond"/>
          <w:color w:val="2a2520"/>
          <w:sz w:val="22"/>
          <w:szCs w:val="22"/>
        </w:rPr>
        <w:t xml:space="preserve">A decennial RSA Technical Integrity Commission reviews whether the NRS architecture continues to meet the constitutional requirements for distributed, tamper-evident operation established by §9.1. The Commission has publication authority only — it may not issue binding orders, impose penalties, or direct the RSA Director. Its findings are published jointly by all three Inspectorates to the NRS and cannot be withheld, suppressed, or altered after publication. Qualifications for pool eligibility, audit methodology and scope, working session parameters, compensation, and decennial trigger timing are established by statute.</w:t>
      </w:r>
    </w:p>
    <w:p>
      <w:pPr>
        <w:spacing w:after="60" w:before="200"/>
        <w:ind w:left="863"/>
      </w:pPr>
      <w:r>
        <w:rPr>
          <w:rFonts w:ascii="Courier New" w:cs="Courier New" w:eastAsia="Courier New" w:hAnsi="Courier New"/>
          <w:b/>
          <w:bCs/>
          <w:color w:val="1B2A4A"/>
          <w:sz w:val="18"/>
          <w:szCs w:val="18"/>
        </w:rPr>
        <w:t xml:space="preserve">§9.3.b  </w:t>
      </w:r>
      <w:r>
        <w:rPr>
          <w:rFonts w:ascii="Garamond" w:cs="Garamond" w:eastAsia="Garamond" w:hAnsi="Garamond"/>
          <w:b/>
          <w:bCs/>
          <w:color w:val="1B2A4A"/>
          <w:sz w:val="22"/>
          <w:szCs w:val="22"/>
        </w:rPr>
        <w:t xml:space="preserve">RSA Technical Pool &amp;#x2014; Constitution</w:t>
      </w:r>
    </w:p>
    <w:p>
      <w:pPr>
        <w:spacing w:after="120" w:before="0"/>
        <w:ind w:left="863"/>
        <w:jc w:val="both"/>
      </w:pPr>
      <w:r>
        <w:rPr>
          <w:rFonts w:ascii="Garamond" w:cs="Garamond" w:eastAsia="Garamond" w:hAnsi="Garamond"/>
          <w:color w:val="2a2520"/>
          <w:sz w:val="22"/>
          <w:szCs w:val="22"/>
        </w:rPr>
        <w:t xml:space="preserve">The President and PM each nominate one qualified person per year to the RSA Technical Pool. Each nominee must be confirmed by the Senate within 60 days of nomination by affirmative vote — no deemed-confirmed fallback applies to this position. Senate failure to vote within 60 days is a constitutional compliance failure published to the NRS by the LI. The pool is a public NRS record. Qualifications are defined by statute and certified by the JI at time of nomination. Over a ten-year cycle both executives may each nominate up to ten members, for a maximum pool of twenty confirmed members.</w:t>
      </w:r>
    </w:p>
    <w:p>
      <w:pPr>
        <w:spacing w:after="60" w:before="200"/>
        <w:ind w:left="863"/>
      </w:pPr>
      <w:r>
        <w:rPr>
          <w:rFonts w:ascii="Courier New" w:cs="Courier New" w:eastAsia="Courier New" w:hAnsi="Courier New"/>
          <w:b/>
          <w:bCs/>
          <w:color w:val="1B2A4A"/>
          <w:sz w:val="18"/>
          <w:szCs w:val="18"/>
        </w:rPr>
        <w:t xml:space="preserve">§9.3.c  </w:t>
      </w:r>
      <w:r>
        <w:rPr>
          <w:rFonts w:ascii="Garamond" w:cs="Garamond" w:eastAsia="Garamond" w:hAnsi="Garamond"/>
          <w:b/>
          <w:bCs/>
          <w:color w:val="1B2A4A"/>
          <w:sz w:val="22"/>
          <w:szCs w:val="22"/>
        </w:rPr>
        <w:t xml:space="preserve">Pool Reset</w:t>
      </w:r>
    </w:p>
    <w:p>
      <w:pPr>
        <w:spacing w:after="120" w:before="0"/>
        <w:ind w:left="863"/>
        <w:jc w:val="both"/>
      </w:pPr>
      <w:r>
        <w:rPr>
          <w:rFonts w:ascii="Garamond" w:cs="Garamond" w:eastAsia="Garamond" w:hAnsi="Garamond"/>
          <w:color w:val="2a2520"/>
          <w:sz w:val="22"/>
          <w:szCs w:val="22"/>
        </w:rPr>
        <w:t xml:space="preserve">The RSA Technical Pool resets after each decennial commission cycle. Previously confirmed pool members who did not serve on the commission may be re-nominated by either executive in the new cycle; fresh Senate confirmation under §9.3.b is required and no member carries forward automatically. Members who served on the commission are not eligible for re-nomination to the pool.</w:t>
      </w:r>
    </w:p>
    <w:p>
      <w:pPr>
        <w:spacing w:after="60" w:before="200"/>
        <w:ind w:left="863"/>
      </w:pPr>
      <w:r>
        <w:rPr>
          <w:rFonts w:ascii="Courier New" w:cs="Courier New" w:eastAsia="Courier New" w:hAnsi="Courier New"/>
          <w:b/>
          <w:bCs/>
          <w:color w:val="1B2A4A"/>
          <w:sz w:val="18"/>
          <w:szCs w:val="18"/>
        </w:rPr>
        <w:t xml:space="preserve">§9.3.d  </w:t>
      </w:r>
      <w:r>
        <w:rPr>
          <w:rFonts w:ascii="Garamond" w:cs="Garamond" w:eastAsia="Garamond" w:hAnsi="Garamond"/>
          <w:b/>
          <w:bCs/>
          <w:color w:val="1B2A4A"/>
          <w:sz w:val="22"/>
          <w:szCs w:val="22"/>
        </w:rPr>
        <w:t xml:space="preserve">Commission Draw</w:t>
      </w:r>
    </w:p>
    <w:p>
      <w:pPr>
        <w:spacing w:after="120" w:before="0"/>
        <w:ind w:left="863"/>
        <w:jc w:val="both"/>
      </w:pPr>
      <w:r>
        <w:rPr>
          <w:rFonts w:ascii="Garamond" w:cs="Garamond" w:eastAsia="Garamond" w:hAnsi="Garamond"/>
          <w:color w:val="2a2520"/>
          <w:sz w:val="22"/>
          <w:szCs w:val="22"/>
        </w:rPr>
        <w:t xml:space="preserve">When the decennial review is triggered, all three Inspectorates jointly constitute the Commission by public lottery, drawing five members at random from the eligible pool. The draw is conducted in a public session; all three Inspectorates certify the result and publish it to the NRS before the session closes. The remaining pool members constitute the standing replacement pool for the duration of the Commission's working period.</w:t>
      </w:r>
    </w:p>
    <w:p>
      <w:pPr>
        <w:spacing w:after="60" w:before="200"/>
        <w:ind w:left="863"/>
      </w:pPr>
      <w:r>
        <w:rPr>
          <w:rFonts w:ascii="Courier New" w:cs="Courier New" w:eastAsia="Courier New" w:hAnsi="Courier New"/>
          <w:b/>
          <w:bCs/>
          <w:color w:val="1B2A4A"/>
          <w:sz w:val="18"/>
          <w:szCs w:val="18"/>
        </w:rPr>
        <w:t xml:space="preserve">§9.3.e  </w:t>
      </w:r>
      <w:r>
        <w:rPr>
          <w:rFonts w:ascii="Garamond" w:cs="Garamond" w:eastAsia="Garamond" w:hAnsi="Garamond"/>
          <w:b/>
          <w:bCs/>
          <w:color w:val="1B2A4A"/>
          <w:sz w:val="22"/>
          <w:szCs w:val="22"/>
        </w:rPr>
        <w:t xml:space="preserve">Commission Replacement</w:t>
      </w:r>
    </w:p>
    <w:p>
      <w:pPr>
        <w:spacing w:after="120" w:before="0"/>
        <w:ind w:left="863"/>
        <w:jc w:val="both"/>
      </w:pPr>
      <w:r>
        <w:rPr>
          <w:rFonts w:ascii="Garamond" w:cs="Garamond" w:eastAsia="Garamond" w:hAnsi="Garamond"/>
          <w:color w:val="2a2520"/>
          <w:sz w:val="22"/>
          <w:szCs w:val="22"/>
        </w:rPr>
        <w:t xml:space="preserve">If a Commission member must be replaced during the review period — through ineligibility, withdrawal, or disqualification — all three Inspectorates draw one replacement at random from the remaining eligible pool members using the same public lottery procedure under §9.3.d. The replacement member holds the same authority and obligations as the member they replace.</w:t>
      </w:r>
    </w:p>
    <w:p>
      <w:pPr>
        <w:spacing w:after="60" w:before="200"/>
        <w:ind w:left="863"/>
      </w:pPr>
      <w:r>
        <w:rPr>
          <w:rFonts w:ascii="Courier New" w:cs="Courier New" w:eastAsia="Courier New" w:hAnsi="Courier New"/>
          <w:b/>
          <w:bCs/>
          <w:color w:val="1B2A4A"/>
          <w:sz w:val="18"/>
          <w:szCs w:val="18"/>
        </w:rPr>
        <w:t xml:space="preserve">§9.3.f  </w:t>
      </w:r>
      <w:r>
        <w:rPr>
          <w:rFonts w:ascii="Garamond" w:cs="Garamond" w:eastAsia="Garamond" w:hAnsi="Garamond"/>
          <w:b/>
          <w:bCs/>
          <w:color w:val="1B2A4A"/>
          <w:sz w:val="22"/>
          <w:szCs w:val="22"/>
        </w:rPr>
        <w:t xml:space="preserve">Tri-Inspectorate Oversight</w:t>
      </w:r>
    </w:p>
    <w:p>
      <w:pPr>
        <w:spacing w:after="120" w:before="0"/>
        <w:ind w:left="863"/>
        <w:jc w:val="both"/>
      </w:pPr>
      <w:r>
        <w:rPr>
          <w:rFonts w:ascii="Garamond" w:cs="Garamond" w:eastAsia="Garamond" w:hAnsi="Garamond"/>
          <w:color w:val="2a2520"/>
          <w:sz w:val="22"/>
          <w:szCs w:val="22"/>
        </w:rPr>
        <w:t xml:space="preserve">All three Inspectorates certify the draw under §9.3.d, oversee the Commission's working sessions to verify that the Commission has the access to records, systems, and personnel required by its statutory mandate, and review the Commission's findings before publication to confirm the findings reflect the Commission's genuine conclusions and have not been suppressed or modified. All three Inspectorate seals appear on findings published to the NRS. The RSA Director receives a copy of published findings simultaneously with NRS publication.</w:t>
      </w:r>
    </w:p>
    <w:p>
      <w:pPr>
        <w:spacing w:after="60" w:before="200"/>
        <w:ind w:left="863"/>
      </w:pPr>
      <w:r>
        <w:rPr>
          <w:rFonts w:ascii="Courier New" w:cs="Courier New" w:eastAsia="Courier New" w:hAnsi="Courier New"/>
          <w:b/>
          <w:bCs/>
          <w:color w:val="1B2A4A"/>
          <w:sz w:val="18"/>
          <w:szCs w:val="18"/>
        </w:rPr>
        <w:t xml:space="preserve">§9.3.g  </w:t>
      </w:r>
      <w:r>
        <w:rPr>
          <w:rFonts w:ascii="Garamond" w:cs="Garamond" w:eastAsia="Garamond" w:hAnsi="Garamond"/>
          <w:b/>
          <w:bCs/>
          <w:color w:val="1B2A4A"/>
          <w:sz w:val="22"/>
          <w:szCs w:val="22"/>
        </w:rPr>
        <w:t xml:space="preserve">Commission Findings</w:t>
      </w:r>
    </w:p>
    <w:p>
      <w:pPr>
        <w:spacing w:after="120" w:before="0"/>
        <w:ind w:left="863"/>
        <w:jc w:val="both"/>
      </w:pPr>
      <w:r>
        <w:rPr>
          <w:rFonts w:ascii="Garamond" w:cs="Garamond" w:eastAsia="Garamond" w:hAnsi="Garamond"/>
          <w:color w:val="2a2520"/>
          <w:sz w:val="22"/>
          <w:szCs w:val="22"/>
        </w:rPr>
        <w:t xml:space="preserve">Commission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The Legislature, the RSA Director, and both executives receive findings simultaneously with NRS publication. The Commission's mandate ends upon publication; the Commission dissolves and the pool resets under §9.3.c.</w:t>
      </w:r>
    </w:p>
    <w:p>
      <w:pPr>
        <w:spacing w:after="60" w:before="200"/>
        <w:ind w:left="431"/>
      </w:pPr>
      <w:r>
        <w:rPr>
          <w:rFonts w:ascii="Courier New" w:cs="Courier New" w:eastAsia="Courier New" w:hAnsi="Courier New"/>
          <w:b/>
          <w:bCs/>
          <w:color w:val="1B2A4A"/>
          <w:sz w:val="18"/>
          <w:szCs w:val="18"/>
        </w:rPr>
        <w:t xml:space="preserve">§9.4  </w:t>
      </w:r>
      <w:r>
        <w:rPr>
          <w:rFonts w:ascii="Garamond" w:cs="Garamond" w:eastAsia="Garamond" w:hAnsi="Garamond"/>
          <w:b/>
          <w:bCs/>
          <w:color w:val="1B2A4A"/>
          <w:sz w:val="22"/>
          <w:szCs w:val="22"/>
        </w:rPr>
        <w:t xml:space="preserve">NRS and Electoral Integrity</w:t>
      </w:r>
    </w:p>
    <w:p>
      <w:pPr>
        <w:spacing w:after="120" w:before="0"/>
        <w:ind w:left="431"/>
        <w:jc w:val="both"/>
      </w:pPr>
      <w:r>
        <w:rPr>
          <w:rFonts w:ascii="Garamond" w:cs="Garamond" w:eastAsia="Garamond" w:hAnsi="Garamond"/>
          <w:color w:val="2a2520"/>
          <w:sz w:val="22"/>
          <w:szCs w:val="22"/>
        </w:rPr>
        <w:t xml:space="preserve">NRS and Electoral Integrity — all electoral records (voter registration, ballot counts, audit trails, certification documents) must be published to the NRS within the timeframes specified by the Electoral Commission's constitutional mandate under Article XVI. No classification exception applies to electoral records.</w:t>
      </w:r>
    </w:p>
    <w:p>
      <w:pPr>
        <w:spacing w:after="60" w:before="200"/>
        <w:ind w:left="863"/>
      </w:pPr>
      <w:r>
        <w:rPr>
          <w:rFonts w:ascii="Courier New" w:cs="Courier New" w:eastAsia="Courier New" w:hAnsi="Courier New"/>
          <w:b/>
          <w:bCs/>
          <w:color w:val="1B2A4A"/>
          <w:sz w:val="18"/>
          <w:szCs w:val="18"/>
        </w:rPr>
        <w:t xml:space="preserve">§9.5.a  </w:t>
      </w:r>
      <w:r>
        <w:rPr>
          <w:rFonts w:ascii="Garamond" w:cs="Garamond" w:eastAsia="Garamond" w:hAnsi="Garamond"/>
          <w:b/>
          <w:bCs/>
          <w:color w:val="1B2A4A"/>
          <w:sz w:val="22"/>
          <w:szCs w:val="22"/>
        </w:rPr>
        <w:t xml:space="preserve">NRS Staffing and Independence</w:t>
      </w:r>
    </w:p>
    <w:p>
      <w:pPr>
        <w:spacing w:after="120" w:before="0"/>
        <w:ind w:left="863"/>
        <w:jc w:val="both"/>
      </w:pPr>
      <w:r>
        <w:rPr>
          <w:rFonts w:ascii="Garamond" w:cs="Garamond" w:eastAsia="Garamond" w:hAnsi="Garamond"/>
          <w:color w:val="2a2520"/>
          <w:sz w:val="22"/>
          <w:szCs w:val="22"/>
        </w:rPr>
        <w:t xml:space="preserve">NRS Staffing and Independence — the NRS is administered by a non-partisan technical office reporting to the LI for oversight. NRS staff may not receive direction from either executive or the Legislature regarding the content, timing, or availability of any record. The NRS administrator is appointed by the LI following public application and qualification review.</w:t>
      </w:r>
    </w:p>
    <w:p>
      <w:pPr>
        <w:spacing w:after="60" w:before="200"/>
        <w:ind w:left="863"/>
      </w:pPr>
      <w:r>
        <w:rPr>
          <w:rFonts w:ascii="Courier New" w:cs="Courier New" w:eastAsia="Courier New" w:hAnsi="Courier New"/>
          <w:b/>
          <w:bCs/>
          <w:color w:val="1B2A4A"/>
          <w:sz w:val="18"/>
          <w:szCs w:val="18"/>
        </w:rPr>
        <w:t xml:space="preserve">§9.5.b  </w:t>
      </w:r>
      <w:r>
        <w:rPr>
          <w:rFonts w:ascii="Garamond" w:cs="Garamond" w:eastAsia="Garamond" w:hAnsi="Garamond"/>
          <w:b/>
          <w:bCs/>
          <w:color w:val="1B2A4A"/>
          <w:sz w:val="22"/>
          <w:szCs w:val="22"/>
        </w:rPr>
        <w:t xml:space="preserve">NRS Downtime Protocol</w:t>
      </w:r>
    </w:p>
    <w:p>
      <w:pPr>
        <w:spacing w:after="120" w:before="0"/>
        <w:ind w:left="863"/>
        <w:jc w:val="both"/>
      </w:pPr>
      <w:r>
        <w:rPr>
          <w:rFonts w:ascii="Garamond" w:cs="Garamond" w:eastAsia="Garamond" w:hAnsi="Garamond"/>
          <w:color w:val="2a2520"/>
          <w:sz w:val="22"/>
          <w:szCs w:val="22"/>
        </w:rPr>
        <w:t xml:space="preserve">NRS Downtime Protocol — 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863"/>
      </w:pPr>
      <w:r>
        <w:rPr>
          <w:rFonts w:ascii="Courier New" w:cs="Courier New" w:eastAsia="Courier New" w:hAnsi="Courier New"/>
          <w:b/>
          <w:bCs/>
          <w:color w:val="1B2A4A"/>
          <w:sz w:val="18"/>
          <w:szCs w:val="18"/>
        </w:rPr>
        <w:t xml:space="preserve">§9.5.c  </w:t>
      </w:r>
      <w:r>
        <w:rPr>
          <w:rFonts w:ascii="Garamond" w:cs="Garamond" w:eastAsia="Garamond" w:hAnsi="Garamond"/>
          <w:b/>
          <w:bCs/>
          <w:color w:val="1B2A4A"/>
          <w:sz w:val="22"/>
          <w:szCs w:val="22"/>
        </w:rPr>
        <w:t xml:space="preserve">Citizen NRS Submissions</w:t>
      </w:r>
    </w:p>
    <w:p>
      <w:pPr>
        <w:spacing w:after="120" w:before="0"/>
        <w:ind w:left="863"/>
        <w:jc w:val="both"/>
      </w:pPr>
      <w:r>
        <w:rPr>
          <w:rFonts w:ascii="Garamond" w:cs="Garamond" w:eastAsia="Garamond" w:hAnsi="Garamond"/>
          <w:color w:val="2a2520"/>
          <w:sz w:val="22"/>
          <w:szCs w:val="22"/>
        </w:rPr>
        <w:t xml:space="preserve">Citizen NRS Submissions — 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863"/>
      </w:pPr>
      <w:r>
        <w:rPr>
          <w:rFonts w:ascii="Courier New" w:cs="Courier New" w:eastAsia="Courier New" w:hAnsi="Courier New"/>
          <w:b/>
          <w:bCs/>
          <w:color w:val="1B2A4A"/>
          <w:sz w:val="18"/>
          <w:szCs w:val="18"/>
        </w:rPr>
        <w:t xml:space="preserve">§9.5.d  </w:t>
      </w:r>
      <w:r>
        <w:rPr>
          <w:rFonts w:ascii="Garamond" w:cs="Garamond" w:eastAsia="Garamond" w:hAnsi="Garamond"/>
          <w:b/>
          <w:bCs/>
          <w:color w:val="1B2A4A"/>
          <w:sz w:val="22"/>
          <w:szCs w:val="22"/>
        </w:rPr>
        <w:t xml:space="preserve">NRS Funding Floor</w:t>
      </w:r>
    </w:p>
    <w:p>
      <w:pPr>
        <w:spacing w:after="120" w:before="0"/>
        <w:ind w:left="863"/>
        <w:jc w:val="both"/>
      </w:pPr>
      <w:r>
        <w:rPr>
          <w:rFonts w:ascii="Garamond" w:cs="Garamond" w:eastAsia="Garamond" w:hAnsi="Garamond"/>
          <w:color w:val="2a2520"/>
          <w:sz w:val="22"/>
          <w:szCs w:val="22"/>
        </w:rPr>
        <w:t xml:space="preserve">NRS Funding Floor — 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863"/>
      </w:pPr>
      <w:r>
        <w:rPr>
          <w:rFonts w:ascii="Courier New" w:cs="Courier New" w:eastAsia="Courier New" w:hAnsi="Courier New"/>
          <w:b/>
          <w:bCs/>
          <w:color w:val="1B2A4A"/>
          <w:sz w:val="18"/>
          <w:szCs w:val="18"/>
        </w:rPr>
        <w:t xml:space="preserve">§9.5.e  </w:t>
      </w:r>
      <w:r>
        <w:rPr>
          <w:rFonts w:ascii="Garamond" w:cs="Garamond" w:eastAsia="Garamond" w:hAnsi="Garamond"/>
          <w:b/>
          <w:bCs/>
          <w:color w:val="1B2A4A"/>
          <w:sz w:val="22"/>
          <w:szCs w:val="22"/>
        </w:rPr>
        <w:t xml:space="preserve">Improper Classification</w:t>
      </w:r>
    </w:p>
    <w:p>
      <w:pPr>
        <w:spacing w:after="120" w:before="0"/>
        <w:ind w:left="863"/>
        <w:jc w:val="both"/>
      </w:pPr>
      <w:r>
        <w:rPr>
          <w:rFonts w:ascii="Garamond" w:cs="Garamond" w:eastAsia="Garamond" w:hAnsi="Garamond"/>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 — it is a constitutional offense.</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4" w:space="4"/>
      </w:pBdr>
      <w:jc w:val="center"/>
    </w:pPr>
    <w:r>
      <w:rPr>
        <w:rFonts w:ascii="Garamond" w:cs="Garamond" w:eastAsia="Garamond" w:hAnsi="Garamond"/>
        <w:color w:val="7a7060"/>
        <w:sz w:val="16"/>
        <w:szCs w:val="16"/>
      </w:rPr>
      <w:t xml:space="preserve">thefederatedrepublic.org    </w:t>
    </w:r>
    <w:r>
      <w:rPr>
        <w:rFonts w:ascii="Garamond" w:cs="Garamond" w:eastAsia="Garamond" w:hAnsi="Garamond"/>
        <w:color w:val="7a7060"/>
        <w:sz w:val="16"/>
        <w:szCs w:val="16"/>
      </w:rPr>
      <w:pgNum/>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spacing w:after="0"/>
      <w:jc w:val="center"/>
    </w:pPr>
    <w:r>
      <w:rPr>
        <w:rFonts w:ascii="Garamond" w:cs="Garamond" w:eastAsia="Garamond" w:hAnsi="Garamond"/>
        <w:color w:val="7a7060"/>
        <w:spacing w:val="4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color w:val="2a252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40" w:before="480"/>
      <w:outlineLvl w:val="0"/>
    </w:pPr>
    <w:rPr>
      <w:rFonts w:ascii="Garamond" w:cs="Garamond" w:eastAsia="Garamond" w:hAnsi="Garamond"/>
      <w:b/>
      <w:bCs/>
      <w:color w:val="1B2A4A"/>
      <w:sz w:val="34"/>
      <w:szCs w:val="3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fbaa660f7a978b481e7621fd8e954716d925fa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2026-05-17T17:12:57.888Z</dcterms:created>
  <dcterms:modified xsi:type="dcterms:W3CDTF">2026-05-17T17:12:57.899Z</dcterms:modified>
</cp:coreProperties>
</file>

<file path=docProps/custom.xml><?xml version="1.0" encoding="utf-8"?>
<Properties xmlns="http://schemas.openxmlformats.org/officeDocument/2006/custom-properties" xmlns:vt="http://schemas.openxmlformats.org/officeDocument/2006/docPropsVTypes"/>
</file>