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 xml:space="preserve">2.1.i Presidential Officer Appointments and Removal: </w:t>
      </w:r>
      <w:r>
        <w:rPr>
          <w:rFonts w:ascii="Times New Roman" w:cs="Times New Roman" w:eastAsia="Times New Roman" w:hAnsi="Times New Roman"/>
          <w:color w:val="000000"/>
          <w:sz w:val="22"/>
          <w:szCs w:val="22"/>
        </w:rPr>
        <w:t xml:space="preserve">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submitting a written Notice of Intended Removal to the Senate, published simultaneously to the National Record System. The Senate has 30 days from the date of publication to approve the removal by simple majority of its full seated membership. If the Senate approves within 30 days, the removal takes effect immediately upon the Senate vote. If the Senate does not vote within 30 days, the removal is deemed approved and takes effect on day 31. If the Senate votes to deny the removal within 30 days by simple majority, the officer remains in post and the President may not resubmit a removal notice for the same officer for one year from the date of the Senate's denial. The Senate denial does not prevent the Legislature from initiating removal under §3.5, which operates independently. An officer subject to an active §3.5 proceeding may not be removed by the President under this provision until those proceedings conclude — this prevents the President from using the removal power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2026-05-11T22:04:46.815Z</dcterms:created>
  <dcterms:modified xsi:type="dcterms:W3CDTF">2026-05-11T22:04:46.830Z</dcterms:modified>
</cp:coreProperties>
</file>

<file path=docProps/custom.xml><?xml version="1.0" encoding="utf-8"?>
<Properties xmlns="http://schemas.openxmlformats.org/officeDocument/2006/custom-properties" xmlns:vt="http://schemas.openxmlformats.org/officeDocument/2006/docPropsVTypes"/>
</file>