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Seat Allocation — Webster Method</w:t>
      </w:r>
    </w:p>
    <w:p>
      <w:pPr>
        <w:spacing w:after="120" w:before="0"/>
        <w:ind w:left="863"/>
        <w:jc w:val="both"/>
      </w:pPr>
      <w:r>
        <w:rPr>
          <w:rFonts w:ascii="Garamond" w:cs="Garamond" w:eastAsia="Garamond" w:hAnsi="Garamond"/>
          <w:color w:val="2a2520"/>
          <w:sz w:val="22"/>
          <w:szCs w:val="22"/>
        </w:rPr>
        <w:t xml:space="preserve">House seats are allocated by the Webster method: each State receives the number of seats nearest to the State's population divided by the Republic's standard constituency divisor, with a minimum of one seat per State regardless of population. The constituency divisor is set at 750,000 citizens per seat and may be adjusted by the Legislature by statute, provided no adjustment reduces any State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20" w:before="0"/>
        <w:ind w:left="431"/>
        <w:jc w:val="both"/>
      </w:pPr>
      <w:r>
        <w:rPr>
          <w:rFonts w:ascii="Garamond" w:cs="Garamond" w:eastAsia="Garamond" w:hAnsi="Garamond"/>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863"/>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20" w:before="0"/>
        <w:ind w:left="863"/>
        <w:jc w:val="both"/>
      </w:pPr>
      <w:r>
        <w:rPr>
          <w:rFonts w:ascii="Garamond" w:cs="Garamond" w:eastAsia="Garamond" w:hAnsi="Garamond"/>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863"/>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20" w:before="0"/>
        <w:ind w:left="863"/>
        <w:jc w:val="both"/>
      </w:pPr>
      <w:r>
        <w:rPr>
          <w:rFonts w:ascii="Garamond" w:cs="Garamond" w:eastAsia="Garamond" w:hAnsi="Garamond"/>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20" w:before="0"/>
        <w:ind w:left="863"/>
        <w:jc w:val="both"/>
      </w:pPr>
      <w:r>
        <w:rPr>
          <w:rFonts w:ascii="Garamond" w:cs="Garamond" w:eastAsia="Garamond" w:hAnsi="Garamond"/>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863"/>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20" w:before="0"/>
        <w:ind w:left="863"/>
        <w:jc w:val="both"/>
      </w:pPr>
      <w:r>
        <w:rPr>
          <w:rFonts w:ascii="Garamond" w:cs="Garamond" w:eastAsia="Garamond" w:hAnsi="Garamond"/>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863"/>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20" w:before="0"/>
        <w:ind w:left="863"/>
        <w:jc w:val="both"/>
      </w:pPr>
      <w:r>
        <w:rPr>
          <w:rFonts w:ascii="Garamond" w:cs="Garamond" w:eastAsia="Garamond" w:hAnsi="Garamond"/>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pPr>
      <w:r>
        <w:rPr>
          <w:rFonts w:ascii="Courier New" w:cs="Courier New" w:eastAsia="Courier New" w:hAnsi="Courier New"/>
          <w:b/>
          <w:bCs/>
          <w:color w:val="1B2A4A"/>
          <w:sz w:val="18"/>
          <w:szCs w:val="18"/>
        </w:rPr>
        <w:t xml:space="preserve">§13.8  </w:t>
      </w:r>
      <w:r>
        <w:rPr>
          <w:rFonts w:ascii="Garamond" w:cs="Garamond" w:eastAsia="Garamond" w:hAnsi="Garamond"/>
          <w:b/>
          <w:bCs/>
          <w:color w:val="1B2A4A"/>
          <w:sz w:val="22"/>
          <w:szCs w:val="22"/>
        </w:rPr>
        <w:t xml:space="preserve">State Immutability</w:t>
      </w:r>
    </w:p>
    <w:p>
      <w:pPr>
        <w:spacing w:after="120" w:before="0"/>
        <w:ind w:left="431"/>
        <w:jc w:val="both"/>
      </w:pPr>
      <w:r>
        <w:rPr>
          <w:rFonts w:ascii="Garamond" w:cs="Garamond" w:eastAsia="Garamond" w:hAnsi="Garamond"/>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2026-05-19T17:11:17.863Z</dcterms:created>
  <dcterms:modified xsi:type="dcterms:W3CDTF">2026-05-19T17:11:17.877Z</dcterms:modified>
</cp:coreProperties>
</file>

<file path=docProps/custom.xml><?xml version="1.0" encoding="utf-8"?>
<Properties xmlns="http://schemas.openxmlformats.org/officeDocument/2006/custom-properties" xmlns:vt="http://schemas.openxmlformats.org/officeDocument/2006/docPropsVTypes"/>
</file>