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b/>
          <w:bCs/>
          <w:color w:val="1B2A4A"/>
          <w:sz w:val="22"/>
          <w:szCs w:val="22"/>
        </w:rPr>
        <w:t xml:space="preserve">2.7 Constitutional Non-Compliance Reporting: </w:t>
      </w:r>
      <w:r>
        <w:rPr>
          <w:rFonts w:ascii="Times New Roman" w:cs="Times New Roman" w:eastAsia="Times New Roman" w:hAnsi="Times New Roman"/>
          <w:color w:val="000000"/>
          <w:sz w:val="22"/>
          <w:szCs w:val="22"/>
        </w:rPr>
        <w:t xml:space="preserve">The Inspectorates publish findings of constitutional non-compliance to the National Record System. These findings are factually grounded, publicly accessible, and do not constitute legal determinations — only courts may make legal conclusions from Inspectorate findings. Constitutional violations are addressed through the ordinary courts and through the political accountability mechanisms established by this Constitution: elections, recall, the constructive no-confidence mechanism, chamber expulsion under §3.6, and criminal prosecution where conduct is criminal. No automatic consequence flows from an Inspectorate finding. The permanent public record on the National Record System is the primary accountability instrument.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Inspectorate.7.</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Inspectorate.7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2.7 — Constitutional Violations and Automatic Consequences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2.9.a Judicial Review of Grants: </w:t>
      </w:r>
      <w:r>
        <w:rPr>
          <w:rFonts w:ascii="Times New Roman" w:cs="Times New Roman" w:eastAsia="Times New Roman" w:hAnsi="Times New Roman"/>
          <w:color w:val="000000"/>
          <w:sz w:val="22"/>
          <w:szCs w:val="22"/>
        </w:rPr>
        <w:t xml:space="preserve">Any clemency grant may be challenged before the Supreme Court within 30 days by any person with a concrete injury, on grounds of: violation of the conduct-exclusion grounds;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runs concurrently with any judicial review period under §2.9.a.</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may be removed through two political tracks independent of Inspectorate reporting and political accountability mechanisms.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Dissolution and Emergency Elections: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Members who were present and voting during the statutory selection period are subject to the election bar described in §2.3.a, subject to the good-faith participation exemption of that section. The Senate Speaker cremain in office and continue trying to seat a PM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000000"/>
          <w:sz w:val="22"/>
          <w:szCs w:val="22"/>
        </w:rP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caretaker period serves the term-limit cooling-off from the later start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Inspectorate.7.</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exclusively to executive and judicial officers of the Republic. Legislative members of the House and Senate are not subject to this section — their removal is governed exclusively by §3.6 as the specific provision for legislative self-governance, and by the Inspectorate reporting provisions of §2.7.</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Supreme Court Nomination: </w:t>
      </w:r>
      <w:r>
        <w:rPr>
          <w:rFonts w:ascii="Times New Roman" w:cs="Times New Roman" w:eastAsia="Times New Roman" w:hAnsi="Times New Roman"/>
          <w:color w:val="000000"/>
          <w:sz w:val="22"/>
          <w:szCs w:val="22"/>
        </w:rPr>
        <w:t xml:space="preserve">Where the PM fails to nominate within 90 days and the Supreme Court nominates directly from the Qualified Jurist Registry, the Judicial Inspectorate's existing vetting of that Registry record under §8.4.a serves as the equivalent disclosure review for that nomination — no separate EI review is required for SC-originated nominations. If the PM fails to nominate within 90 days of a vacancy, the Supreme Court nominates directly from the Qualified Jurist Registry;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three-track removal system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The Triad: </w:t>
      </w:r>
      <w:r>
        <w:rPr>
          <w:rFonts w:ascii="Times New Roman" w:cs="Times New Roman" w:eastAsia="Times New Roman" w:hAnsi="Times New Roman"/>
          <w:color w:val="000000"/>
          <w:sz w:val="22"/>
          <w:szCs w:val="22"/>
        </w:rPr>
        <w:t xml:space="preserve">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constitutional violation trials — produces genuinely distinct institutional perspective from both the PM and the President, while the House's nomination would effectively double the PM's voice given the PM's confidence relationship with the House.</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Triad Nomination: </w:t>
      </w:r>
      <w:r>
        <w:rPr>
          <w:rFonts w:ascii="Times New Roman" w:cs="Times New Roman" w:eastAsia="Times New Roman" w:hAnsi="Times New Roman"/>
          <w:color w:val="000000"/>
          <w:sz w:val="22"/>
          <w:szCs w:val="22"/>
        </w:rPr>
        <w:t xml:space="preserve">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Mid-Term Vacancy Process: </w:t>
      </w:r>
      <w:r>
        <w:rPr>
          <w:rFonts w:ascii="Times New Roman" w:cs="Times New Roman" w:eastAsia="Times New Roman" w:hAnsi="Times New Roman"/>
          <w:color w:val="000000"/>
          <w:sz w:val="22"/>
          <w:szCs w:val="22"/>
        </w:rPr>
        <w:t xml:space="preserve">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Vetting: </w:t>
      </w:r>
      <w:r>
        <w:rPr>
          <w:rFonts w:ascii="Times New Roman" w:cs="Times New Roman" w:eastAsia="Times New Roman" w:hAnsi="Times New Roman"/>
          <w:color w:val="000000"/>
          <w:sz w:val="22"/>
          <w:szCs w:val="22"/>
        </w:rPr>
        <w:t xml:space="preserve">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 xml:space="preserve">4.2.e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 xml:space="preserve">4.2.f Vacancy Operating Rules: </w:t>
      </w:r>
      <w:r>
        <w:rPr>
          <w:rFonts w:ascii="Times New Roman" w:cs="Times New Roman" w:eastAsia="Times New Roman" w:hAnsi="Times New Roman"/>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line="280" w:lineRule="auto"/>
        <w:jc w:val="both"/>
      </w:pPr>
      <w:r>
        <w:rPr>
          <w:rFonts w:ascii="Times New Roman" w:cs="Times New Roman" w:eastAsia="Times New Roman" w:hAnsi="Times New Roman"/>
          <w:b/>
          <w:bCs/>
          <w:color w:val="1B2A4A"/>
          <w:sz w:val="22"/>
          <w:szCs w:val="22"/>
        </w:rPr>
        <w:t xml:space="preserve">4.2.g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Inspectorate.7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The Qualified Jurist Pool: </w:t>
      </w:r>
      <w:r>
        <w:rPr>
          <w:rFonts w:ascii="Times New Roman" w:cs="Times New Roman" w:eastAsia="Times New Roman" w:hAnsi="Times New Roman"/>
          <w:color w:val="000000"/>
          <w:sz w:val="22"/>
          <w:szCs w:val="22"/>
        </w:rPr>
        <w:t xml:space="preserve">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Authorization Tiers</w:t>
      </w:r>
    </w:p>
    <w:p>
      <w:pPr>
        <w:spacing w:after="60" w:before="60" w:line="280" w:lineRule="auto"/>
        <w:jc w:val="both"/>
      </w:pPr>
      <w:r>
        <w:rPr>
          <w:rFonts w:ascii="Times New Roman" w:cs="Times New Roman" w:eastAsia="Times New Roman" w:hAnsi="Times New Roman"/>
          <w:color w:val="000000"/>
          <w:sz w:val="22"/>
          <w:szCs w:val="22"/>
        </w:rPr>
        <w:t xml:space="preserve">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Five-Year Maximum: </w:t>
      </w:r>
      <w:r>
        <w:rPr>
          <w:rFonts w:ascii="Times New Roman" w:cs="Times New Roman" w:eastAsia="Times New Roman" w:hAnsi="Times New Roman"/>
          <w:color w:val="000000"/>
          <w:sz w:val="22"/>
          <w:szCs w:val="22"/>
        </w:rPr>
        <w:t xml:space="preserve">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line="280" w:lineRule="auto"/>
        <w:jc w:val="both"/>
      </w:pPr>
      <w:r>
        <w:rPr>
          <w:rFonts w:ascii="Times New Roman" w:cs="Times New Roman" w:eastAsia="Times New Roman" w:hAnsi="Times New Roman"/>
          <w:b/>
          <w:bCs/>
          <w:color w:val="1B2A4A"/>
          <w:sz w:val="22"/>
          <w:szCs w:val="22"/>
        </w:rPr>
        <w:t xml:space="preserve">12.2.c Successive Declaration Standard: </w:t>
      </w:r>
      <w:r>
        <w:rPr>
          <w:rFonts w:ascii="Times New Roman" w:cs="Times New Roman" w:eastAsia="Times New Roman" w:hAnsi="Times New Roman"/>
          <w:color w:val="000000"/>
          <w:sz w:val="22"/>
          <w:szCs w:val="22"/>
        </w:rPr>
        <w:t xml:space="preserve">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line="280" w:lineRule="auto"/>
        <w:jc w:val="both"/>
      </w:pPr>
      <w:r>
        <w:rPr>
          <w:rFonts w:ascii="Times New Roman" w:cs="Times New Roman" w:eastAsia="Times New Roman" w:hAnsi="Times New Roman"/>
          <w:b/>
          <w:bCs/>
          <w:color w:val="1B2A4A"/>
          <w:sz w:val="22"/>
          <w:szCs w:val="22"/>
        </w:rPr>
        <w:t xml:space="preserve">12.2.d Senate Armed Services Committee: </w:t>
      </w:r>
      <w:r>
        <w:rPr>
          <w:rFonts w:ascii="Times New Roman" w:cs="Times New Roman" w:eastAsia="Times New Roman" w:hAnsi="Times New Roman"/>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constitutional violation for any commissioned officer who issues or follows orders from the non-Court-identified claimant after that 6-hour period.</w:t>
      </w:r>
    </w:p>
    <w:p>
      <w:pPr>
        <w:spacing w:after="60" w:before="60" w:line="280" w:lineRule="auto"/>
        <w:jc w:val="both"/>
      </w:pPr>
      <w:r>
        <w:rPr>
          <w:rFonts w:ascii="Times New Roman" w:cs="Times New Roman" w:eastAsia="Times New Roman" w:hAnsi="Times New Roman"/>
          <w:b/>
          <w:bCs/>
          <w:color w:val="1B2A4A"/>
          <w:sz w:val="22"/>
          <w:szCs w:val="22"/>
        </w:rPr>
        <w:t xml:space="preserve">12.2.e Military Authority During Presidential Succession Vacuum: </w:t>
      </w:r>
      <w:r>
        <w:rPr>
          <w:rFonts w:ascii="Times New Roman" w:cs="Times New Roman" w:eastAsia="Times New Roman" w:hAnsi="Times New Roman"/>
          <w:color w:val="000000"/>
          <w:sz w:val="22"/>
          <w:szCs w:val="22"/>
        </w:rPr>
        <w:t xml:space="preserve">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color w:val="000000"/>
          <w:sz w:val="22"/>
          <w:szCs w:val="22"/>
        </w:rPr>
        <w:t xml:space="preserve">All domestic intelligence operations against Republic citizens are permanently prohibited. Any such order is reported to the National Record System by the relevant Inspectorate against the President and Director of Intelligence, triggering immediate suspension and a Senate trial within a period the Legislature defines by statute, not to exceed 7 days.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line="280" w:lineRule="auto"/>
        <w:jc w:val="both"/>
      </w:pPr>
      <w:r>
        <w:rPr>
          <w:rFonts w:ascii="Times New Roman" w:cs="Times New Roman" w:eastAsia="Times New Roman" w:hAnsi="Times New Roman"/>
          <w:b/>
          <w:bCs/>
          <w:color w:val="1B2A4A"/>
          <w:sz w:val="22"/>
          <w:szCs w:val="22"/>
        </w:rPr>
        <w:t xml:space="preserve">12.5.a Treaty Emergency Certification: </w:t>
      </w:r>
      <w:r>
        <w:rPr>
          <w:rFonts w:ascii="Times New Roman" w:cs="Times New Roman" w:eastAsia="Times New Roman" w:hAnsi="Times New Roman"/>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line="280" w:lineRule="auto"/>
        <w:jc w:val="both"/>
      </w:pPr>
      <w:r>
        <w:rPr>
          <w:rFonts w:ascii="Times New Roman" w:cs="Times New Roman" w:eastAsia="Times New Roman" w:hAnsi="Times New Roman"/>
          <w:b/>
          <w:bCs/>
          <w:color w:val="1B2A4A"/>
          <w:sz w:val="22"/>
          <w:szCs w:val="22"/>
        </w:rPr>
        <w:t xml:space="preserve">12.5.b Legislative Ratification: </w:t>
      </w:r>
      <w:r>
        <w:rPr>
          <w:rFonts w:ascii="Times New Roman" w:cs="Times New Roman" w:eastAsia="Times New Roman" w:hAnsi="Times New Roman"/>
          <w:color w:val="000000"/>
          <w:sz w:val="22"/>
          <w:szCs w:val="22"/>
        </w:rPr>
        <w:t xml:space="preserve">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 Constitutional Default: In the absence of a statute defining the ratification period, the Legislature may not vote on Treaty Emergency Certification ratification until the joint LI/EI review under §12.5.a has been published to the NRS, or 14 days have elapsed from the Certification filing date, whichever occurs first. This default applies automatically.</w:t>
      </w:r>
    </w:p>
    <w:p>
      <w:pPr>
        <w:spacing w:after="60" w:before="60" w:line="280" w:lineRule="auto"/>
        <w:jc w:val="both"/>
      </w:pPr>
      <w:r>
        <w:rPr>
          <w:rFonts w:ascii="Times New Roman" w:cs="Times New Roman" w:eastAsia="Times New Roman" w:hAnsi="Times New Roman"/>
          <w:b/>
          <w:bCs/>
          <w:color w:val="1B2A4A"/>
          <w:sz w:val="22"/>
          <w:szCs w:val="22"/>
        </w:rPr>
        <w:t xml:space="preserve">12.5.c No Blank Check: </w:t>
      </w:r>
      <w:r>
        <w:rPr>
          <w:rFonts w:ascii="Times New Roman" w:cs="Times New Roman" w:eastAsia="Times New Roman" w:hAnsi="Times New Roman"/>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Offensive Military Operations</w:t>
      </w:r>
    </w:p>
    <w:p>
      <w:pPr>
        <w:spacing w:after="60" w:before="60" w:line="280" w:lineRule="auto"/>
        <w:jc w:val="both"/>
      </w:pPr>
      <w:r>
        <w:rPr>
          <w:rFonts w:ascii="Times New Roman" w:cs="Times New Roman" w:eastAsia="Times New Roman" w:hAnsi="Times New Roman"/>
          <w:b/>
          <w:bCs/>
          <w:color w:val="1B2A4A"/>
          <w:sz w:val="22"/>
          <w:szCs w:val="22"/>
        </w:rPr>
        <w:t xml:space="preserve">12.6.a Prohibition on Wars of Aggression: </w:t>
      </w:r>
      <w:r>
        <w:rPr>
          <w:rFonts w:ascii="Times New Roman" w:cs="Times New Roman" w:eastAsia="Times New Roman" w:hAnsi="Times New Roman"/>
          <w:color w:val="000000"/>
          <w:sz w:val="22"/>
          <w:szCs w:val="22"/>
        </w:rPr>
        <w:t xml:space="preserve">The Republic may not initiate or sustain offensive military operations for the purpose of territorial acquisition, resource extraction, political control over a foreign population, or ideological imposition. Any Legislative Declaration or executive order purporting to authorize an operation for a prohibited purpose is void. §12.1's three authorized purposes — border protection and territorial integrity, defense of treaty allies, and systemic intervention to prevent genocide or civilizational collapse — are the exhaustive grounds on which offensive operations may be authorized. Purposes not enumerated in §12.1 do not qualify.</w:t>
      </w:r>
    </w:p>
    <w:p>
      <w:pPr>
        <w:spacing w:after="60" w:before="60" w:line="280" w:lineRule="auto"/>
        <w:jc w:val="both"/>
      </w:pPr>
      <w:r>
        <w:rPr>
          <w:rFonts w:ascii="Times New Roman" w:cs="Times New Roman" w:eastAsia="Times New Roman" w:hAnsi="Times New Roman"/>
          <w:b/>
          <w:bCs/>
          <w:color w:val="1B2A4A"/>
          <w:sz w:val="22"/>
          <w:szCs w:val="22"/>
        </w:rPr>
        <w:t xml:space="preserve">12.6.b Definition — Offensive Operation: </w:t>
      </w:r>
      <w:r>
        <w:rPr>
          <w:rFonts w:ascii="Times New Roman" w:cs="Times New Roman" w:eastAsia="Times New Roman" w:hAnsi="Times New Roman"/>
          <w:color w:val="000000"/>
          <w:sz w:val="22"/>
          <w:szCs w:val="22"/>
        </w:rPr>
        <w:t xml:space="preserve">An offensive military operation is any sustained military operation in which Republic armed forces cross into foreign sovereign territory for purposes extending beyond the immediate repulsion of an active attack on Republic territory, Republic forces, or the territory of a treaty ally under §12.5. Hot-pursuit operations lasting less than 72 hours in response to an attack originating from foreign territory are not offensive operations for purposes of this section.</w:t>
      </w:r>
    </w:p>
    <w:p>
      <w:pPr>
        <w:spacing w:after="60" w:before="60" w:line="280" w:lineRule="auto"/>
        <w:jc w:val="both"/>
      </w:pPr>
      <w:r>
        <w:rPr>
          <w:rFonts w:ascii="Times New Roman" w:cs="Times New Roman" w:eastAsia="Times New Roman" w:hAnsi="Times New Roman"/>
          <w:b/>
          <w:bCs/>
          <w:color w:val="1B2A4A"/>
          <w:sz w:val="22"/>
          <w:szCs w:val="22"/>
        </w:rPr>
        <w:t xml:space="preserve">12.6.c Offensive Operations Declaration: </w:t>
      </w:r>
      <w:r>
        <w:rPr>
          <w:rFonts w:ascii="Times New Roman" w:cs="Times New Roman" w:eastAsia="Times New Roman" w:hAnsi="Times New Roman"/>
          <w:color w:val="000000"/>
          <w:sz w:val="22"/>
          <w:szCs w:val="22"/>
        </w:rPr>
        <w:t xml:space="preserve">Offensive military operations require an Offensive Operations Declaration — a Legislative Declaration passed by a 2/3 concurrent supermajority of both chambers. In addition to the requirements of §12.2.a, the Declaration must specify: (1) which of the three §12.1 purposes the operation serves, with supporting factual findings; (2) the specific foreign state or territory in which operations will be conducted and the geographic boundaries of the authorized theater; (3) the operational objectives whose achievement constitutes the primary condition for cessation; (4) the conditions under which the Republic will accept a negotiated resolution short of full operational objectives; (5) a maximum authorized duration not exceeding 3 years — shorter than the defensive war maximum of 5 years under §12.2.b, reflecting the higher constitutional burden of offensive action; and (6) a preliminary transition plan as required by §12.4, even where planning is necessarily incomplete. The Declaration is renewed every 180 days under §12.2.a. Failure to renew terminates offensive operations; Republic forces must withdraw to defensive positions within Republic or treaty-ally territory within 30 days of termination.</w:t>
      </w:r>
    </w:p>
    <w:p>
      <w:pPr>
        <w:spacing w:after="60" w:before="60" w:line="280" w:lineRule="auto"/>
        <w:jc w:val="both"/>
      </w:pPr>
      <w:r>
        <w:rPr>
          <w:rFonts w:ascii="Times New Roman" w:cs="Times New Roman" w:eastAsia="Times New Roman" w:hAnsi="Times New Roman"/>
          <w:b/>
          <w:bCs/>
          <w:color w:val="1B2A4A"/>
          <w:sz w:val="22"/>
          <w:szCs w:val="22"/>
        </w:rPr>
        <w:t xml:space="preserve">12.6.d Inspectorate Review: </w:t>
      </w:r>
      <w:r>
        <w:rPr>
          <w:rFonts w:ascii="Times New Roman" w:cs="Times New Roman" w:eastAsia="Times New Roman" w:hAnsi="Times New Roman"/>
          <w:color w:val="000000"/>
          <w:sz w:val="22"/>
          <w:szCs w:val="22"/>
        </w:rPr>
        <w:t xml:space="preserve">Within 21 days of an Offensive Operations Declaration's passage, the Legislative Inspectorate publishes a factual assessment addressing: whether the stated operational objectives are consistent with the §12.1 purpose declared; whether the geographic scope is proportionate to those objectives; and whether the preliminary transition plan is adequate under §12.4. The assessment is advisory — it does not invalidate the Declaration — but is published before the first 180-day renewal vote, ensuring the Legislature renews with full public information. Where the LI finds the declared purpose is not supported by the available factual record, that finding is published to the National Record System and transmitted to the Legislature's standing oversight committees, who may initiate proceedings within 30 days.</w:t>
      </w:r>
    </w:p>
    <w:p>
      <w:pPr>
        <w:spacing w:after="60" w:before="60" w:line="280" w:lineRule="auto"/>
        <w:jc w:val="both"/>
      </w:pPr>
      <w:r>
        <w:rPr>
          <w:rFonts w:ascii="Times New Roman" w:cs="Times New Roman" w:eastAsia="Times New Roman" w:hAnsi="Times New Roman"/>
          <w:b/>
          <w:bCs/>
          <w:color w:val="1B2A4A"/>
          <w:sz w:val="22"/>
          <w:szCs w:val="22"/>
        </w:rPr>
        <w:t xml:space="preserve">12.6.e Preemptive Operations — Interim Authority: </w:t>
      </w:r>
      <w:r>
        <w:rPr>
          <w:rFonts w:ascii="Times New Roman" w:cs="Times New Roman" w:eastAsia="Times New Roman" w:hAnsi="Times New Roman"/>
          <w:color w:val="000000"/>
          <w:sz w:val="22"/>
          <w:szCs w:val="22"/>
        </w:rPr>
        <w:t xml:space="preserve">Where the President has reasonable grounds, supported by intelligence shared in full with the Senate Armed Services Committee, to believe that a foreign state is in active preparation for an imminent attack on the Republic and the operational window for effective defensive response will close within 14 days, the President may invoke Tier 2 authority under §2.1.b for preemptive offensive operations. The Senate Armed Services Committee must convene within 24 hours of invocation. Preemptive authority under this provision lasts a maximum of 14 days. If an Offensive Operations Declaration has not been enacted within that period, all offensive operations beyond Republic territory must cease and forces must return to defensive posture. This authority may not be invoked on the basis of intelligence withheld from the Committee, and the President's intelligence certification is published to the National Record System within 48 hours of invocation.</w:t>
      </w:r>
    </w:p>
    <w:p>
      <w:pPr>
        <w:spacing w:after="60" w:before="60" w:line="280" w:lineRule="auto"/>
        <w:jc w:val="both"/>
      </w:pPr>
      <w:r>
        <w:rPr>
          <w:rFonts w:ascii="Times New Roman" w:cs="Times New Roman" w:eastAsia="Times New Roman" w:hAnsi="Times New Roman"/>
          <w:b/>
          <w:bCs/>
          <w:color w:val="1B2A4A"/>
          <w:sz w:val="22"/>
          <w:szCs w:val="22"/>
        </w:rPr>
        <w:t xml:space="preserve">12.6.f NRS Accountability: </w:t>
      </w:r>
      <w:r>
        <w:rPr>
          <w:rFonts w:ascii="Times New Roman" w:cs="Times New Roman" w:eastAsia="Times New Roman" w:hAnsi="Times New Roman"/>
          <w:color w:val="000000"/>
          <w:sz w:val="22"/>
          <w:szCs w:val="22"/>
        </w:rPr>
        <w:t xml:space="preserve">All Offensive Operations Declarations, fund certifications, 180-day renewal votes, operational objective assessments, stand-down orders, and transition plan submissions are published to the National Record System within 24 hours of their occurrence. The Executive Inspectorate's annual military constitutional compliance assessment includes a dedicated section on offensive operations: whether ongoing operations are conducted within the declared geographic scope; whether fund certifications correspond to authorized operational purposes; and whether the non-aggression prohibition of §12.6.a is being observed. Any EI finding that operations have exceeded their authorized scope or purpose constitutes a published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12.6.g Relationship to §12.1: </w:t>
      </w:r>
      <w:r>
        <w:rPr>
          <w:rFonts w:ascii="Times New Roman" w:cs="Times New Roman" w:eastAsia="Times New Roman" w:hAnsi="Times New Roman"/>
          <w:color w:val="000000"/>
          <w:sz w:val="22"/>
          <w:szCs w:val="22"/>
        </w:rPr>
        <w:t xml:space="preserve">§12.1's three authorized purposes define the substantive grounds for military force; §12.6 defines the procedural authorization required when those purposes require offensive operations in foreign territory. A Legislature may not invoke §12.1's purposes to authorize offensive operations without the specific findings and enhanced threshold of §12.6.c — the purpose authorization and the operational authorization are both constitutionally required. §12.1 is amended to add at its conclusion: Where §12.1 purposes require offensive military operations as defined in §12.6.b, the authorization mechanism of §12.6 applies.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13.5 — Associated Community Cross-Reference</w:t>
      </w:r>
    </w:p>
    <w:p>
      <w:pPr>
        <w:spacing w:after="60" w:before="60" w:line="280" w:lineRule="auto"/>
        <w:jc w:val="both"/>
      </w:pPr>
      <w:r>
        <w:rPr>
          <w:rFonts w:ascii="Times New Roman" w:cs="Times New Roman" w:eastAsia="Times New Roman" w:hAnsi="Times New Roman"/>
          <w:b/>
          <w:bCs/>
          <w:color w:val="1B2A4A"/>
          <w:sz w:val="22"/>
          <w:szCs w:val="22"/>
        </w:rPr>
        <w:t xml:space="preserve">13.5 Associated Community Relationships: </w:t>
      </w:r>
      <w:r>
        <w:rPr>
          <w:rFonts w:ascii="Times New Roman" w:cs="Times New Roman" w:eastAsia="Times New Roman" w:hAnsi="Times New Roman"/>
          <w:color w:val="000000"/>
          <w:sz w:val="22"/>
          <w:szCs w:val="22"/>
        </w:rPr>
        <w:t xml:space="preserve">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15.1.c Citizen-Led Path: </w:t>
      </w:r>
      <w:r>
        <w:rPr>
          <w:rFonts w:ascii="Times New Roman" w:cs="Times New Roman" w:eastAsia="Times New Roman" w:hAnsi="Times New Roman"/>
          <w:color w:val="000000"/>
          <w:sz w:val="22"/>
          <w:szCs w:val="22"/>
        </w:rPr>
        <w:t xml:space="preserve">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 xml:space="preserve">16.5.c Removal: </w:t>
      </w:r>
      <w:r>
        <w:rPr>
          <w:rFonts w:ascii="Times New Roman" w:cs="Times New Roman" w:eastAsia="Times New Roman" w:hAnsi="Times New Roman"/>
          <w:color w:val="000000"/>
          <w:sz w:val="22"/>
          <w:szCs w:val="22"/>
        </w:rPr>
        <w:t xml:space="preserve">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National Trust Administrator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holds, develops, or seeks to develop National Trust lands, or that derives commercial benefit from activities within National Trust lands; demonstrated expertise in at least one of — ecological stewardship and conservation management, public land management and administration, environmental law, or natural resource governance;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Inspectorate.7.</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This Constitution is activated upon: </w:t>
      </w:r>
      <w:r>
        <w:rPr>
          <w:rFonts w:ascii="Times New Roman" w:cs="Times New Roman" w:eastAsia="Times New Roman" w:hAnsi="Times New Roman"/>
          <w:color w:val="000000"/>
          <w:sz w:val="22"/>
          <w:szCs w:val="22"/>
        </w:rPr>
        <w:t xml:space="preserve">(1)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an 18-month,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line="280" w:lineRule="auto"/>
        <w:jc w:val="both"/>
      </w:pPr>
      <w:r>
        <w:rPr>
          <w:rFonts w:ascii="Times New Roman" w:cs="Times New Roman" w:eastAsia="Times New Roman" w:hAnsi="Times New Roman"/>
          <w:b/>
          <w:bCs/>
          <w:color w:val="1B2A4A"/>
          <w:sz w:val="22"/>
          <w:szCs w:val="22"/>
        </w:rPr>
        <w:t xml:space="preserve">19.7.e Joint Inspectorate Panel Role: </w:t>
      </w:r>
      <w:r>
        <w:rPr>
          <w:rFonts w:ascii="Times New Roman" w:cs="Times New Roman" w:eastAsia="Times New Roman" w:hAnsi="Times New Roman"/>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SCHEDULE A — AUTHORITY REFERENCE MATRIX</w:t>
      </w:r>
    </w:p>
    <w:p>
      <w:pPr>
        <w:spacing w:after="60" w:before="60" w:line="280" w:lineRule="auto"/>
        <w:jc w:val="both"/>
      </w:pPr>
      <w:r>
        <w:rPr>
          <w:rFonts w:ascii="Times New Roman" w:cs="Times New Roman" w:eastAsia="Times New Roman" w:hAnsi="Times New Roman"/>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2026-05-11T02:46:24.025Z</dcterms:created>
  <dcterms:modified xsi:type="dcterms:W3CDTF">2026-05-11T02:46:24.041Z</dcterms:modified>
</cp:coreProperties>
</file>

<file path=docProps/custom.xml><?xml version="1.0" encoding="utf-8"?>
<Properties xmlns="http://schemas.openxmlformats.org/officeDocument/2006/custom-properties" xmlns:vt="http://schemas.openxmlformats.org/officeDocument/2006/docPropsVTypes"/>
</file>