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declaration specifying the nature of the emergency, which rights are limited, the geographic scope, and the duration; blanket declarations are constitutionally invalid. The declaration is published to the NRS immediately.</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The Legislature may, before a Declaration expires, extend it for one additional period not to exceed 60 days by 2/3 of both chambers in a concurrent vote; the extension is published immediately to the NRS and no further extension is available under this provision.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pending SC determination.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Civic Consul certification throughout; expenditure without Civic Consul certification is void. All military operations must state and be consistent with an authorized purpose under §14.1.</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directs foreign intelligence. No intelligence operation may be conducted against Republic citizens within Republic territory on the Legat Consul's authority; such operations require independent judicial authorization. The Legat Consul may veto legislation that raises a genuine constitutional concern within the Legat Consul's security domain — military operations, intelligence, treaty obligations, or border security. A general or speculative security connection is insufficient. Either Speaker may petition the SC for an expedited domain determination of any disputed veto; the SC must rule within 7 days of such petition. Under §9.1, either Speaker may request an EM assessment of the domain question, which the SC may consider as expert evidence. Where the SC confirms the veto falls outside the Legat Consul's defined domain, the veto is void and the bill proceeds to ordinary enactment without Legat Consul assent. Where the SC confirms the veto is within domain, the ordinary 2/3 override threshold applies.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Legat Consul's sole authority. The Civic Consul must respond to any request for concurrence within the period defined by statute; where no statutory period has been established, the constitutional default is 30 days. Where the Civic Consul does not respond within the applicable period, concurrence is deemed given for provisions that do not require new domestic legislation; silence on provisions that require new domestic legislation is deemed withheld. Where Civic Consul concurrence is withheld on a specific provision, that provision may be transmitted to the Assembly as ordinary legislation while the remaining agreement proceeds to Senate ratification independently. The Legat Consul nominates senior domain officers — Director of Intelligence, Director of Foreign Affairs, Director of Defense — from a pool of qualified candidates maintained by the Elections Panel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Where the executives dispute whether a provision requires new domestic legislation for purposes of the concurrence default, either executive may refer the classification question to the SC for expedited determination within the concurrence period.</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to the Legat Consul. To hold the office of Civic Consul, a person must have been a citizen for at least 7 years at the time of taking office and must hold no federal felony conviction. No other eligibility requirement applies. The Civic Consul answers to the Assembly through the confidence mechanism and does not require consular confirmation for the exercise of the domestic domain. The Civic Consul's domestic authority includes: all domestic policy and regulatory frameworks; the annual budget, which must originate with the Civic Consul and pass the Assembly; certification of military expenditure;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in the absence of a statutory interval, the constitutional default is 30 days. The Legat Consul has no role in domestic emergencies. The Civic Consul has the right to be informed on national security matters that bear on domestic interests; no classification may be used to withhold such information from the Civic Consul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Civic Consul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 No person may serve more than 8 years in total as Civic Consul across all periods of service; this limit is cumulative and permanent regardless of interruption. 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Civic Consul designates a serving Assembly member; the designation is published to the NRS and confirmed by the LM.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by absolute majority and the Senate has not designated a Civic Consul within 45 days of the Assembly failing to elect one within the statutory period, the Elections Panel administers a public dissolution referendum; the question is whether the people wish to dissolve the Assembly and hold a new election; the referendum is administered with a minimum 30-day campaign window; a simple majority decides. If the Assembly elects a Civic Consul by absolute majority at any point before the dissolution vote is certified, the referendum is moot and concludes without effect. Where the dissolution vote passes, dissolution takes effect from the moment of Elections Panel certification and is published to the NRS; a new Assembly general election follows under the ordinary electoral process; the Acting mechanism continues until the new Assembly elects a Civic Consul.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in a concurrent vote;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A solvency objection requires an MA assessment; the Assembly may override by simple majority after receiving the assessment.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Consular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Consular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 Where the Legat Consul is temporarily unable to exercise authority, the EM and LM jointly assess capacity and, on joint assessment published to the NRS, Acting Consular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 Judicial review of any lead designation must be initiated within 90 days of the lead designation taking effect regardless of whether the emergency is characterized as ongoing; the SC holds expedited jurisdiction over such review.</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Assembly Speaker and Senate Speaker jointly, and the Council of Ministers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Council of Ministers joint resolution published within the 14-day window closes the process; the Legislature takes no further action. Where neither the Council of Ministers nor the Legislature acts within 30 days of the declaration, the Civic Consul’s coordination authority governs the cross-domain interaction until either the executives reach agreement or the Legislature acts; the Legat Consul retains full authority within the Consular domain throughout and the default applies to how the two domains interact, not to the substance of matters within either domain.</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JMC reports that continuity of lawful governance is at immediate risk; the Court must act within seven days of such certification; where the SC fails to rule within seven days, the existing scope of government functions continues by constitutional operation pending any subsequent ruling. Continuity protections apply to: military operations with active legislative authorization; social state obligations; Monitor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and does not hold a place in the Legat Consul succession line.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EM and published to the NRS.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under §9.1, the chamber may request an EM assessment to inform the proceeding. The Republic provides standard residential accommodation at the Seat of Government to every serving member of both chambers during their period of service. The standard is defined by statute and applies equally to all members regardless of tenure, seniority, or political affiliation. Legislative compensation and accommodation standards may not be set by the Legislature itself.</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applicable succession and acting mechanisms under this constitution govern the exercise of any suspended functions.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publishes to the NRS that the pardoning instrument expressly states eligibility is restored.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Elections Panel applies those qualifications and enters qualifying applicants into the pool; the JM’s ongoing audit of the Elections Panel encompasses the administration of the inferior court judge pool. Exceptions to pool eligibility — including persons currently holding government positions, those with disqualifying financial interests, and those removed from a court within a recent period — are defined by statute. The Civic Consul nominates inferior court judges from the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on grounds of constitutional breach or demonstrated incapacity; under §9.1, either chamber may request an EM assessment to inform the proceeding;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The Legislature establishes by statute the procedure for filling any remaining Temporary Associate Justice positions.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open SC Candidate Registry maintained by the Elections Panel under §9.4.b — any eligible citizen who applies and meets the qualification criteria is entered.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SC Candidate Registry is available on the NRS and the Senate may consider any published JM findings on the nominee; no deemed confirmation applies, but failure to vote within that period is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SC Candidate Registry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No citizenship may be stripped from a natural-born citizen. Where a child born on Republic territory would hold no other citizenship, or would otherwise be stateless regardless of birthplace, citizenship is granted from birth.</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Two-Stage Immigration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 All removal proceedings and challenge proceedings under this section carry the right to legal representation; where an applicant cannot afford representation, counsel is appointed at public expense.</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the right to legal representation with appointed counsel at public expense where the applicant cannot afford representation,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 </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The Elections Panel publishes a finding when conditions have normalized sufficiently for elections to proceed; elections must be held within 30 days of that publication. Either chamber may petition the SC if it disputes the Elections Panel’s finding; the SC must rule within 7 days. No further postponement may be granted without a new Elections Panel finding of impossibility and a new 2/3 legislative determination.</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promptly report them and either return them to the contributor or remit them to the public campaign financing fund; the Legislature defines reporting timelines and procedures by statute.</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(LM), Executive (EM), and Judicial (JM) — each selected by bodies other than those it oversees. The Monitors hold an information-only mandate: they publish findings but do not issue binding orders. Each Monitor General serves a 10-year non-renewable term with a constitutionally protected funding floor. Failure of a Monitor to act does not extinguish constitutional authority or suspend any constitutional obligation, unless this Constitution explicitly provides otherwise. The Monitors are the Republic's independent auditors. Their mandate is to observe constitutional processes, verify factual and legal compliance, and publish expert findings to the NRS. Monitor findings carry the authority of expert analysis — available to any party, given due weight, and not binding on any constitutional actor. No Monitor finding or assessment is a prerequisite for any legal proceeding, constitutional mechanism, or governmental function. Any constitutional officer, chamber, or body may request a focused assessment from any Monitor within that Monitor’s audit mandate, specifying a date by which the assessment is required. The Monitor publishes the assessment by the requested date where practicable; where this is not practicable, the Monitor publishes the reason and an estimated completion date within five days of receiving the request. Persistent non-responsiveness to reasonable requests may be published by the other two Monitors as a non-responsiveness finding to the NRS. A requesting party may proceed with any constitutional process whether or not a requested assessment has been published.</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tier authorizations were followed, whether the §2.3 intelligence warrant requirement was maintained, and whether fund certifications were observed,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and conducts annual audits of the Elections Panel for electoral integrity compliance, including the administration of the SC Candidate Registry and all constitutional pools. The JM reviews accommodation compact compliance, Associated Community compact compliance under Article XX, and Article XVI indigenous compact obligations. The JM's mandate is procedural neutrality: ensuring that all functions requiring independence from political bias are conducted under an impartial constitutional authority. The JM's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national popular vote — the Legislature and both executives are entirely excluded. The Assembly Speaker and Senate Speaker jointly nominate the EM Monitor General, confirmed by national popular vote with JM audit findings on the nominee’s disclosure record published to the NRS before the vote — the executives are excluded and neither Speaker can act alone. The JM Monitor General is selected by public lottery from a pool of former judges audited by the LM and EM — the JM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Monitor General is nominated by the SC from a pool of qualified candidates maintained by the Elections Panel and audited jointly by the EM and JM, sufficiently in advance under the timeline defined by statute to ensure confirmation is complete before the transition under §3.13; confirmed by national popular vote at the next federal electoral period following nomination, by simple majority of votes cast. The confirmed successor assumes full Monitor General authority at the precise moment the incumbent’s term concludes under §3.13. If the confirmation vote fails, the §9.1.d acting mechanism activates and the SC initiates a new nomination from the pool within 60 days. The EM Monitor General is nominated jointly by the Assembly Speaker and Senate Speaker from a pool of qualified candidates maintained by the Elections Panel and audited jointly by the LM and JM, sufficiently in advance under the timeline defined by statute under §3.13; confirmed by national popular vote at the next federal electoral period following nomination, by simple majority of votes cast, with JM audit findings on the nominee’s disclosure record published to the NRS before the vote. The same timing and failed-vote provisions apply. Where the Assembly Speaker and Senate Speaker fail to jointly nominate within 60 days of a vacancy being published to the NRS, the Senate selects a nominee from the pool directly by 2/3 vote of full seated membership; the selected nominee proceeds to national popular vote confirmation on the same terms; the executives remain excluded from nomination under both paths. The JM Monitor General is selected by public lottery under §9.12 from the JM Candidate Pool under §9.4.a maintained by the Elections Panel, conducted at the statutory timeline under §3.13,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§3.13. If the confirmation vote fails, the §9.1.d acting mechanism activates and the JMC conducts a new lottery from the pool within 60 days; the same confirmation process applies to the new selection. All Monitor Generals serve 10-year non-renewable terms. No two Monitor General terms may begin within 18 months of each other, ensuring continuous institutional knowledge across offices. The Elections Panel administers all Monitor General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Judicial Monitor Audit and Lottery Administration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audits the Elections Panel’s administration of the SC Candidate Registry,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the Elections Panel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Monitor General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Joint Monitor Council conducts the lottery from the pool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Elections Panel applies the stated eligibility criteria and enters qualifying applicants into the registry. The JM’s ongoing audit of the Elections Panel encompasses the administration of the SC Candidate Registry;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Monitor General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finding, report, and discrepancy notice must be published to the NRS permanently and free of charge; no official may suppress, delay, classify, or alter a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120" w:before="0"/>
        <w:ind w:left="431"/>
        <w:jc w:val="both"/>
      </w:pPr>
      <w:r>
        <w:rPr>
          <w:rFonts w:ascii="Garamond" w:cs="Garamond" w:eastAsia="Garamond" w:hAnsi="Garamond"/>
          <w:b w:val="false"/>
          <w:bCs w:val="false"/>
          <w:i w:val="false"/>
          <w:iCs w:val="false"/>
          <w:color w:val="2a2520"/>
          <w:sz w:val="22"/>
          <w:szCs w:val="22"/>
        </w:rPr>
        <w:t xml:space="preserve"/>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Monitors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qualifying applicants into the relevant registry or pool by applying the published qualification requirements. The relevant Monitor’s ongoing audit encompasses the Elections Panel’s administration of each pool and registry; audit findings are published to the NRS. Any applicant excluded may appeal to the SC within 14 days on the sole ground that the qualification requirements were misapplied. Pool records and audit findings are public NRS records at all times. The Joint Monitor Council conducts the draw in a public session, certifies the result jointly, and publishes it to the NRS. Where selection is by deliberate nomination, the named officer nominates from pool members. Where confirmation is required, the Senate must act within the period defined by the establishing provision; failure to confirm within that period is a constitutional compliance breach. The JM monitors all constitutional pools annually and publishes a status report.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and a designation is made under the ordinary acting mechanism; this fallback applies only to judicial and Monitor pools.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in a concurrent vote; no removal vote may be held within 180 days of a major national election without prior SC review within 48 hours. Under the Judicial Track, where two of the three Monitors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Monitor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Where the NRS Panel determines by unanimous vote that a record was published in error and its continued availability poses an imminent, specific, and documented threat to individual safety, the NRS Panel may temporarily restrict access for a period not to exceed 30 days while the SC reviews the restriction; the SC must rule within 14 days; the record is permanently restored unless the SC confirms the restriction on the narrowest possible grounds. The original record timestamp and the restriction record both remain as permanent NRS entries.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Monitor reports are permanently exempt from classification. Citizens may submit corrections or context to any NRS record through a public mechanism maintained by the LM;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JM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neither panel holds legislative, executive, judicial, or policy authority.</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the functions protected under §2.15;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pPr>
        <w:spacing w:after="120" w:before="0"/>
        <w:ind w:left="431"/>
        <w:jc w:val="both"/>
      </w:pPr>
      <w:r>
        <w:rPr>
          <w:rFonts w:ascii="Garamond" w:cs="Garamond" w:eastAsia="Garamond" w:hAnsi="Garamond"/>
          <w:b w:val="false"/>
          <w:bCs w:val="false"/>
          <w:i w:val="false"/>
          <w:iCs w:val="false"/>
          <w:color w:val="2a2520"/>
          <w:sz w:val="22"/>
          <w:szCs w:val="22"/>
        </w:rPr>
        <w:t xml:space="preserve"/>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Taxing Power and National Revenue Fund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has exclusive authority to levy taxes, duties, and tariffs by statute; no other body may impose a tax, duty, or levy. All public money received by the Republic — including tax revenue, fees, and other receipts — is deposited into the National Revenue Fund. No money may be withdrawn from the National Revenue Fund except by legislative appropriation under §12.2; the EM audits the Fund’s receipts and disbursements as part of its annual fiscal mandate. No tax may discriminate on the basis of the characteristics listed in §1.6. The Legislature sets tax rates for all jurisdictions within the Republic, including States, Territories, and Associated Communities. Tariff rates established by a ratified treaty under §3.6 constitute legislatively authorized rates for the duration of that treaty; the Legislature may set tariff schedules within which the Legat Consul may negotiate specific rates.</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relevant chamber may void the decision by simple majority within 90 days of an EM finding of conflict. Constitutional officers may not, for a period defined by statute after leaving office — which may not be less than two years — engage in any activity that monetizes or draws on non-public information, relationships, or access accumulated during service; the EM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documented and published to the NRS,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not to exceed 50%,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60% of votes cast with at least 50% citizen participation.</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Civic Consul certification concurrent with legislative authorization. No military operation may be funded without Civic Consul certification; the Civic Consul may certify, condition, or decline certification on any operation. Expenditure in categories not covered by the certification requires supplementary Civic Consul certification. When legislative authorization expires or is not renewed, all military expenditure ceases; ongoing contracts may continue to wind down for the period the Legislature defines by statute; no new commitments may be entered after authorization expires. The EM audits all military expenditure during active operations and publishes findings to the NRS. Within the period the Legislature defines by statute following the conclusion of any military operation, not to exceed 180 days, the EM publishes a comprehensive expenditure accountability report. Where the Civic Consul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Legat Consul must publish notice of the certification refusal to the NRS within 24 hours with stated grounds; both chambers must be notified simultaneously; if the Legislature does not act within the maintenance period, all expenditure ceases. A Civic Consul who declines certification bears the same constitutional attribution for the consequences of that decision as a Legat Consul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that failure is a constitutional compliance breach; the Civic Consul may provisionally extend expenditure certification for continued operations for up to 60 days total in two 30-day extensions, each requiring Civic Consul notification to the Senate and publication to the NRS confirming that the certified expenditure remains within the Declaration's scope; operational authority over those operations remains with the Legat Consul throughout.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Civic Consul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upon three consecutive annual Statehood Audit findings of failure published by the LM. After each failing audit, the LM publishes an Early Warning specifying compliance requirements; the State must publish a Remediation Plan within the period defined by statute. After three consecutive failures, citizens vote, administered by the Elections Panel under Article XI, on one of three paths: a two-year federal remediation commission; a State-managed remediation plan subject to LM quarterly assessment of progress against the published compliance requirements; or devolution to Territory status.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Assembly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fiscal obligations to the Republic,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and acceptance by the Legislature by 2/3 of both chambers. Under §9.1, either chamber may request a JM assessment of the entity's compliance with §1.19.b before the incorporation vote; published JM findings must be given due consideration. Any person with standing may challenge the incorporation before the SC on the ground that the entity systematically violates §1.19.b.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status election under §16.7 constitutes the consent mechanism required by this section for the purposes of indigenous territorial transitions; no additional Popular Ratification is required.</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Civic Consul's designated Compact Officer for domestic and governance matters; the Legat Consul's designated representative participates for any matter within the Legat Consul's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Where no treaty is concluded within 24 months following a status election of Full Sovereign Independence, either party may propose one 12-month extension by mutual agreement published to the NRS. Absent a concluded treaty or a mutually agreed extension, independence takes effect with a provisional framework: existing compact terms govern borders, trade, and infrastructure on a provisional basis until replaced by treaty; citizenship arrangements follow §5.1; the Legat Consul publishes the provisional framework to the NRS. Either party may petition the SC to resolve specific disputes within the provisional framework.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Elections Panel,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Elections Panel petition verification. Citizen initiative amendments are subject to §17.3 consistency analysis by the LM, advisory only. Amendment of the following provisions requires Popular Ratification regardless of the amendment’s origin: the Monitor selection mechanisms and independence protections (§9.2–§9.5), the Monitor information-only mandate and non-dependency principle (§9.1), the Monitor funding guarantee (§9.10), the NRS architecture and permanence requirements (§10.1), and the Elections Panel and NRS Panel independence (§11.1). These provisions may not be amended by State Ratification alone.</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Legat Consul nor the Civic Consul has any role in the constitutional amendment process. No signature required. No veto available. An amendment takes effect immediately upon LM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LM publishes a consistency analysis of any proposed amendment within 30 days of passage by both chambers for a parliamentary amendment, or within 30 days of LM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Civic Consul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Legat Consul,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§1.19.b.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qualification review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civic proficiency assessment administrator under §5.1.a, within 180 days; the Census Bureau under §3.2, within 18 months; the Monetary Authority under §12.1,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sovereign nations — those that have achieved full sovereignty through a status election under §16.7, through the constitutional amendment process, or recognized as pre-existing sovereigns under Article XVI — and to independent nations outside the Republic seeking a defined relationship.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JM conducts annual compliance reviews and publishes findings to the NRS. Where the JM finds systematic violations of §1.19.b rights or any party challenges a compact on those grounds, the compact is suspended pending SC review; the SC may terminate the compact on confirmed violations without remediation within the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Under §9.1, either chamber may request a JM assessment of compact compliance before proceeding to ratification.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