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may be removed through two political tracks independent of Inspectorate reporting and political accountability mechanisms.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exclusively to executive and judicial officers of the Republic. Legislative members of the House and Senate are not subject to this section — their removal is governed exclusively by §3.6 as the specific provision for legislative self-governance, and by the Inspectorate reporting provisions of Article VIII.</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Supreme Court Nomination: </w:t>
      </w:r>
      <w:r>
        <w:rPr>
          <w:rFonts w:ascii="Times New Roman" w:cs="Times New Roman" w:eastAsia="Times New Roman" w:hAnsi="Times New Roman"/>
          <w:color w:val="000000"/>
          <w:sz w:val="22"/>
          <w:szCs w:val="22"/>
        </w:rPr>
        <w:t xml:space="preserve">Where the PM fails to nominate within 90 days and the Supreme Court nominates directly from the Qualified Jurist Registry, the Judicial Inspectorate's existing vetting of that Registry record under §8.4.a serves as the equivalent disclosure review for that nomination — no separate EI review is required for SC-originated nominations. If the PM fails to nominate within 90 days of a vacancy, the Supreme Court nominates directly from the Qualified Jurist Registry;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three-track removal system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before="60" w:after="60" w:line="280" w:lineRule="auto"/>
        <w:jc w:val="both"/>
      </w:pPr>
      <w:r>
        <w:rPr>
          <w:b/>
          <w:sz w:val="22"/>
          <w:color w:val="1B2A4A"/>
        </w:rPr>
        <w:t xml:space="preserve">Open-Candidacy Judicial Selection: </w:t>
      </w:r>
      <w:r>
        <w:rPr>
          <w:sz w:val="22"/>
        </w:rPr>
        <w:t xml:space="preserve">Each open Supreme Court seat is filled through an open-candidacy election process. Any citizen on the Qualified Jurist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before="60" w:after="60" w:line="280" w:lineRule="auto"/>
        <w:jc w:val="both"/>
      </w:pPr>
      <w:r>
        <w:rPr>
          <w:b/>
          <w:sz w:val="22"/>
          <w:color w:val="1B2A4A"/>
        </w:rPr>
        <w:t xml:space="preserve">4.2.a Candidate Registration: </w:t>
      </w:r>
      <w:r>
        <w:rPr>
          <w:sz w:val="22"/>
        </w:rPr>
        <w:t xml:space="preserve">Any citizen whose name appears on the Judicial Inspectorate's Qualified Jurist Registry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before="60" w:after="60" w:line="280" w:lineRule="auto"/>
        <w:jc w:val="both"/>
      </w:pPr>
      <w:r>
        <w:rPr>
          <w:b/>
          <w:sz w:val="22"/>
          <w:color w:val="1B2A4A"/>
        </w:rPr>
        <w:t xml:space="preserve">4.2.b Judicial Selection Board: </w:t>
      </w:r>
      <w:r>
        <w:rPr>
          <w:sz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before="60" w:after="60" w:line="280" w:lineRule="auto"/>
        <w:jc w:val="both"/>
      </w:pPr>
      <w:r>
        <w:rPr>
          <w:b/>
          <w:sz w:val="22"/>
          <w:color w:val="1B2A4A"/>
        </w:rPr>
        <w:t xml:space="preserve">4.2.c Judicial Inspectorate Certification: </w:t>
      </w:r>
      <w:r>
        <w:rPr>
          <w:sz w:val="22"/>
        </w:rPr>
        <w:t xml:space="preserve">Before any candidate may appear on the ballot, the Judicial Inspectorate confirms that the candidate remains on the Qualified Jurist Registry, that no disqualifying change in circumstances has occurred since Registry admission, and that the specific eligibility criteria of §8.4.a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before="60" w:after="60" w:line="280" w:lineRule="auto"/>
        <w:jc w:val="both"/>
      </w:pPr>
      <w:r>
        <w:rPr>
          <w:b/>
          <w:sz w:val="22"/>
          <w:color w:val="1B2A4A"/>
        </w:rPr>
        <w:t xml:space="preserve">4.2.d Public Election: </w:t>
      </w:r>
      <w:r>
        <w:rPr>
          <w:sz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before="60" w:after="60" w:line="280" w:lineRule="auto"/>
        <w:jc w:val="both"/>
      </w:pPr>
      <w:r>
        <w:rPr>
          <w:b/>
          <w:sz w:val="22"/>
          <w:color w:val="1B2A4A"/>
        </w:rPr>
        <w:t xml:space="preserve">4.2.e Mid-Term Vacancies: </w:t>
      </w:r>
      <w:r>
        <w:rPr>
          <w:sz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Qualified Jurist Registry;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The Qualified Jurist Pool: </w:t>
      </w:r>
      <w:r>
        <w:rPr>
          <w:rFonts w:ascii="Times New Roman" w:cs="Times New Roman" w:eastAsia="Times New Roman" w:hAnsi="Times New Roman"/>
          <w:color w:val="000000"/>
          <w:sz w:val="22"/>
          <w:szCs w:val="22"/>
        </w:rPr>
        <w:t xml:space="preserve">Maintained by the outgoing Judicial IG. A candidate seeking Registry inclusion must submit a registration record to the Judicial Inspectorate. The record must include professional background, credentials in constitutional law, financial disclosures, and the candidate's complete prior government position history. The JI reviews the submitted record for factual accuracy, applies the Registry criteria — knowledge of constitutional law, no government position in the prior 10 years, no financial conflicts of interest, no prior disqualifying conduct — and publishes the record together with its recommendation to the National Record System. These criteria are fixed and may only be altered by constitutional amendment. The existing appeals process under §8.9.d applies to any Registry exclusion determination. Any citizen who identifies a discrepancy in a published registration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Republic provides standardized housing for officials in session — no luxury stipends. All officials use the same healthcare, retirement, and public infrastructure as the citizens they serve. Compensation is defined by House statute under §10.6. 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 xml:space="preserve">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 xml:space="preserve">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Offensive Military Operations</w:t>
      </w:r>
    </w:p>
    <w:p>
      <w:pPr>
        <w:spacing w:after="60" w:before="60" w:line="280" w:lineRule="auto"/>
        <w:jc w:val="both"/>
      </w:pPr>
      <w:r>
        <w:rPr>
          <w:rFonts w:ascii="Times New Roman" w:cs="Times New Roman" w:eastAsia="Times New Roman" w:hAnsi="Times New Roman"/>
          <w:b/>
          <w:bCs/>
          <w:color w:val="1B2A4A"/>
          <w:sz w:val="22"/>
          <w:szCs w:val="22"/>
        </w:rPr>
        <w:t xml:space="preserve">12.6.a Prohibition on Wars of Aggression: </w:t>
      </w:r>
      <w:r>
        <w:rPr>
          <w:rFonts w:ascii="Times New Roman" w:cs="Times New Roman" w:eastAsia="Times New Roman" w:hAnsi="Times New Roman"/>
          <w:color w:val="000000"/>
          <w:sz w:val="22"/>
          <w:szCs w:val="22"/>
        </w:rP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pPr>
        <w:spacing w:after="60" w:before="60" w:line="280" w:lineRule="auto"/>
        <w:jc w:val="both"/>
      </w:pPr>
      <w:r>
        <w:rPr>
          <w:rFonts w:ascii="Times New Roman" w:cs="Times New Roman" w:eastAsia="Times New Roman" w:hAnsi="Times New Roman"/>
          <w:b/>
          <w:bCs/>
          <w:color w:val="1B2A4A"/>
          <w:sz w:val="22"/>
          <w:szCs w:val="22"/>
        </w:rPr>
        <w:t xml:space="preserve">12.6.b Definition — Offensive Operation: </w:t>
      </w:r>
      <w:r>
        <w:rPr>
          <w:rFonts w:ascii="Times New Roman" w:cs="Times New Roman" w:eastAsia="Times New Roman" w:hAnsi="Times New Roman"/>
          <w:color w:val="000000"/>
          <w:sz w:val="22"/>
          <w:szCs w:val="22"/>
        </w:rP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pPr>
        <w:spacing w:after="60" w:before="60" w:line="280" w:lineRule="auto"/>
        <w:jc w:val="both"/>
      </w:pPr>
      <w:r>
        <w:rPr>
          <w:rFonts w:ascii="Times New Roman" w:cs="Times New Roman" w:eastAsia="Times New Roman" w:hAnsi="Times New Roman"/>
          <w:b/>
          <w:bCs/>
          <w:color w:val="1B2A4A"/>
          <w:sz w:val="22"/>
          <w:szCs w:val="22"/>
        </w:rPr>
        <w:t xml:space="preserve">12.6.c Offensive Operations Declaration: </w:t>
      </w:r>
      <w:r>
        <w:rPr>
          <w:rFonts w:ascii="Times New Roman" w:cs="Times New Roman" w:eastAsia="Times New Roman" w:hAnsi="Times New Roman"/>
          <w:color w:val="000000"/>
          <w:sz w:val="22"/>
          <w:szCs w:val="22"/>
        </w:rP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pPr>
        <w:spacing w:after="60" w:before="60" w:line="280" w:lineRule="auto"/>
        <w:jc w:val="both"/>
      </w:pPr>
      <w:r>
        <w:rPr>
          <w:rFonts w:ascii="Times New Roman" w:cs="Times New Roman" w:eastAsia="Times New Roman" w:hAnsi="Times New Roman"/>
          <w:b/>
          <w:bCs/>
          <w:color w:val="1B2A4A"/>
          <w:sz w:val="22"/>
          <w:szCs w:val="22"/>
        </w:rPr>
        <w:t xml:space="preserve">12.6.d Inspectorate Review: </w:t>
      </w:r>
      <w:r>
        <w:rPr>
          <w:rFonts w:ascii="Times New Roman" w:cs="Times New Roman" w:eastAsia="Times New Roman" w:hAnsi="Times New Roman"/>
          <w:color w:val="000000"/>
          <w:sz w:val="22"/>
          <w:szCs w:val="22"/>
        </w:rP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pPr>
        <w:spacing w:after="60" w:before="60" w:line="280" w:lineRule="auto"/>
        <w:jc w:val="both"/>
      </w:pPr>
      <w:r>
        <w:rPr>
          <w:rFonts w:ascii="Times New Roman" w:cs="Times New Roman" w:eastAsia="Times New Roman" w:hAnsi="Times New Roman"/>
          <w:b/>
          <w:bCs/>
          <w:color w:val="1B2A4A"/>
          <w:sz w:val="22"/>
          <w:szCs w:val="22"/>
        </w:rPr>
        <w:t xml:space="preserve">12.6.e Preemptive Operations — Interim Authority: </w:t>
      </w:r>
      <w:r>
        <w:rPr>
          <w:rFonts w:ascii="Times New Roman" w:cs="Times New Roman" w:eastAsia="Times New Roman" w:hAnsi="Times New Roman"/>
          <w:color w:val="000000"/>
          <w:sz w:val="22"/>
          <w:szCs w:val="22"/>
        </w:rP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pPr>
        <w:spacing w:after="60" w:before="60" w:line="280" w:lineRule="auto"/>
        <w:jc w:val="both"/>
      </w:pPr>
      <w:r>
        <w:rPr>
          <w:rFonts w:ascii="Times New Roman" w:cs="Times New Roman" w:eastAsia="Times New Roman" w:hAnsi="Times New Roman"/>
          <w:b/>
          <w:bCs/>
          <w:color w:val="1B2A4A"/>
          <w:sz w:val="22"/>
          <w:szCs w:val="22"/>
        </w:rPr>
        <w:t xml:space="preserve">12.6.f NRS Accountability: </w:t>
      </w:r>
      <w:r>
        <w:rPr>
          <w:rFonts w:ascii="Times New Roman" w:cs="Times New Roman" w:eastAsia="Times New Roman" w:hAnsi="Times New Roman"/>
          <w:color w:val="000000"/>
          <w:sz w:val="22"/>
          <w:szCs w:val="22"/>
        </w:rPr>
        <w:t xml:space="preserve">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12.6.g Relationship to §12.1: </w:t>
      </w:r>
      <w:r>
        <w:rPr>
          <w:rFonts w:ascii="Times New Roman" w:cs="Times New Roman" w:eastAsia="Times New Roman" w:hAnsi="Times New Roman"/>
          <w:color w:val="000000"/>
          <w:sz w:val="22"/>
          <w:szCs w:val="22"/>
        </w:rP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2026-05-11T03:27:14.944Z</dcterms:created>
  <dcterms:modified xsi:type="dcterms:W3CDTF">2026-05-11T03:27:14.957Z</dcterms:modified>
</cp:coreProperties>
</file>

<file path=docProps/custom.xml><?xml version="1.0" encoding="utf-8"?>
<Properties xmlns="http://schemas.openxmlformats.org/officeDocument/2006/custom-properties" xmlns:vt="http://schemas.openxmlformats.org/officeDocument/2006/docPropsVTypes"/>
</file>