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capital sentence imposed by a unanimous jury following conviction for the most serious crimes as defined by House statute. No executive may order the deliberate killing of any Inhabitant outside of active armed conflict governed by Article XII. This right admits no emergency derogation. A capital sentence lawfully imposed and carried out under this section does not constitute cruel, degrading, or inhumane punishment within the meaning of §1.2.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 xml:space="preserve">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Inspectorate.7.</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 xml:space="preserve">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Inspectorate.7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begins from the date of EI publication.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may be removed through two political tracks independent of Inspectorate reporting and political accountability mechanisms.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Dissolution and Emergency Elections: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Members who were present and voting during the statutory selection period are subject to the election bar described in §2.3.a, subject to the good-faith participation exemption of that section. The Senate Speaker cremain in office and continue trying to seat a PM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000000"/>
          <w:sz w:val="22"/>
          <w:szCs w:val="22"/>
        </w:rPr>
        <w:t xml:space="preserve">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dissolution, and post-dissolution election bar provisions of §2.3 operate independently of this term limit. A member who reaches the 6-term limit and whose cooling-off period coincides with a caretaker period serves the term-limit cooling-off from the later start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§12.5.a.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 xml:space="preserve">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exclusively to executive and judicial officers of the Republic. Legislative members of the House and Senate are not subject to this section — their removal is governed exclusively by §3.6 as the specific provision for legislative self-governance, and by the Inspectorate reporting provisions of Article VIII.</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Supreme Court's most senior justice — defined as the justice who has served longest on the current Court, with the eldest by age as the tiebreaker — presides over the Senate trial, unless that justice is the subject of the proceedings, in which case the Senate Speaker presides.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scheduled vote on a bill or resolution that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commissions all confirmed judges. If the House fails to vote on any nomination within the Legislature-defined confirmation period, the nominee is Deemed Confirmed and the Supreme Court commissions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Supreme Court Nomination: </w:t>
      </w:r>
      <w:r>
        <w:rPr>
          <w:rFonts w:ascii="Times New Roman" w:cs="Times New Roman" w:eastAsia="Times New Roman" w:hAnsi="Times New Roman"/>
          <w:color w:val="000000"/>
          <w:sz w:val="22"/>
          <w:szCs w:val="22"/>
        </w:rPr>
        <w:t xml:space="preserve">Where the PM fails to nominate within 90 days and the Supreme Court nominates directly from the Qualified Jurist Registry, the Judicial Inspectorate's existing vetting of that Registry record under §8.4.a serves as the equivalent disclosure review for that nomination — no separate EI review is required for SC-originated nominations. If the PM fails to nominate within 90 days of a vacancy, the Supreme Court nominates directly from the Qualified Jurist Registry;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4.1.d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three-track removal system of §4.1.c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Open-Candidacy Judicial Selection: </w:t>
      </w:r>
      <w:r>
        <w:rPr>
          <w:rFonts w:ascii="Times New Roman" w:cs="Times New Roman" w:eastAsia="Times New Roman" w:hAnsi="Times New Roman"/>
          <w:color w:val="000000"/>
          <w:sz w:val="22"/>
          <w:szCs w:val="22"/>
        </w:rPr>
        <w:t xml:space="preserve">Each open Supreme Court seat is filled through an open-candidacy election process. Any citizen on the Qualified Jurist Registry maintained by the Judicial Inspectorate may register as a candidate. A Judicial Selection Board publishes an advisory assessment of registered candidates. Citizens elect justices by national Ranked Choice Vote. No political branch nominates or controls access to the ballot — the Registry is the eligibility filter, the Board is the expert voice, and the electorate makes the final determination.</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One seat is elected every two years on the National Election Day to ensure staggered renewal.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Candidate Registration: </w:t>
      </w:r>
      <w:r>
        <w:rPr>
          <w:rFonts w:ascii="Times New Roman" w:cs="Times New Roman" w:eastAsia="Times New Roman" w:hAnsi="Times New Roman"/>
          <w:color w:val="000000"/>
          <w:sz w:val="22"/>
          <w:szCs w:val="22"/>
        </w:rPr>
        <w:t xml:space="preserve">Any citizen whose name appears on the Judicial Inspectorate's Qualified Jurist Registry may register as a candidate for an open Supreme Court seat by filing a complete disclosure record with the Executive Inspectorate. The disclosure record must include: full professional history, all judicial or legal appointments held, any financial interests that could affect impartiality, and confirmation of continued Registry eligibility. The EI reviews each disclosure record for factual accuracy and completeness within 14 days of filing and publishes its findings to the National Record System. A candidate whose disclosure record contains a material inaccuracy or who no longer meets Registry criteria is removed from the ballot; the EI publishes the grounds. All other registered candidates proceed to JI certification and the public election. The Electoral Commission administers all Supreme Court elections and may not exclude any EI-reviewed, JI-certified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Judicial Selection Board: </w:t>
      </w:r>
      <w:r>
        <w:rPr>
          <w:rFonts w:ascii="Times New Roman" w:cs="Times New Roman" w:eastAsia="Times New Roman" w:hAnsi="Times New Roman"/>
          <w:color w:val="000000"/>
          <w:sz w:val="22"/>
          <w:szCs w:val="22"/>
        </w:rPr>
        <w:t xml:space="preserve">A Judicial Selection Board publishes an advisory assessment of all registered candidates before each Supreme Court election. The Board consists of five members selected by lottery from inferior court judges who have served at least ten continuous years on the bench and who are not currently candidates for the open seat. No political branch appoints Board members — the lottery is administered by the Judicial Inspectorate from among all eligible judges. Board members serve for the duration of one selection cycle, from candidate registration through election certification. The Board assesses each candidate's judicial record, demonstrated legal reasoning, and professional independence as relevant to the Supreme Court's constitutional mandate. The assessment is advisory — the Board has no authority to remove candidates from the ballot and makes no endorsement. The full assessment is published to the National Record System no later than 60 days before the election and is publicly accessible at no cost.</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Certification: </w:t>
      </w:r>
      <w:r>
        <w:rPr>
          <w:rFonts w:ascii="Times New Roman" w:cs="Times New Roman" w:eastAsia="Times New Roman" w:hAnsi="Times New Roman"/>
          <w:color w:val="000000"/>
          <w:sz w:val="22"/>
          <w:szCs w:val="22"/>
        </w:rPr>
        <w:t xml:space="preserve">Before any candidate may appear on the ballot, the Judicial Inspectorate confirms that the candidate remains on the Qualified Jurist Registry, that no disqualifying change in circumstances has occurred since Registry admission, and that the specific eligibility criteria of §8.4.a continue to be met. The JI does not conduct a new independent assessment — it confirms Registry status. Candidates who fail JI certification may not proceed to the public election; the JI publishes the grounds for any certification refusal to the National Record System. A candidate who disputes a certification refusal may challenge it before an Appellate Court within 14 days; the candidate remains listed as pending during that review period. All certification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JI certification, all certified candidates are placed on the ballot for a national direct election by Ranked Choice Voting on the next National Election Day, or by special election within 90 days for mid-term vacancies under §4.2.e. The winner is the candidate who achieves a national RCV majority among all certified candidates. Where a special election produces no RCV majority on first count, the standard RCV elimination process continues until one candidate holds a majority of active ballots. The Electoral Commission administers the election and certifies the result to the National Record System.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 xml:space="preserve">4.2.e Mid-Term Vacancies: </w:t>
      </w:r>
      <w:r>
        <w:rPr>
          <w:rFonts w:ascii="Times New Roman" w:cs="Times New Roman" w:eastAsia="Times New Roman" w:hAnsi="Times New Roman"/>
          <w:color w:val="000000"/>
          <w:sz w:val="22"/>
          <w:szCs w:val="22"/>
        </w:rPr>
        <w:t xml:space="preserve">Where a Supreme Court seat becomes vacant mid-term through death, resignation, removal, or expulsion, a special election is held within 90 days. The full open-candidacy process of §4.2.a through §4.2.d applies, with timelines compressed to fit the 90-day window: candidate registration closes at day 14; EI review completes by day 28; Judicial Selection Board assessment is published by day 45; JI certification completes by day 55; election is held no later than day 90. The replacement justice serves only the remainder of the original 12-year term, not a new term. Where the compressed timeline cannot be met due to extraordinary circumstances, the Judicial Inspectorate may extend the window by no more than 30 days and publishes the extension and grounds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4.2.f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 xml:space="preserve">4.2.g Vacancy Operating Rules: </w:t>
      </w:r>
      <w:r>
        <w:rPr>
          <w:rFonts w:ascii="Times New Roman" w:cs="Times New Roman" w:eastAsia="Times New Roman" w:hAnsi="Times New Roman"/>
          <w:color w:val="000000"/>
          <w:sz w:val="22"/>
          <w:szCs w:val="22"/>
        </w:rPr>
        <w:t xml:space="preserve">During any period when a Supreme Court seat is vacant, the Court continues to function with its remaining seated justices. Where a case produces an equal division among seated justices with no majority position, the lower court's ruling is affirmed without creating binding precedent for any court of the Republic. This affirmance-without-precedent rule applies only during vacancy periods and expires when the vacant seat is filled. the Legislature may not alter this rule in any way that restricts the Court's ability to issue binding rulings on constitutional questions during extended vacancies.</w:t>
      </w:r>
    </w:p>
    <w:p>
      <w:pPr>
        <w:spacing w:after="60" w:before="60" w:line="280" w:lineRule="auto"/>
        <w:jc w:val="both"/>
      </w:pPr>
      <w:r>
        <w:rPr>
          <w:rFonts w:ascii="Times New Roman" w:cs="Times New Roman" w:eastAsia="Times New Roman" w:hAnsi="Times New Roman"/>
          <w:b/>
          <w:bCs/>
          <w:color w:val="1B2A4A"/>
          <w:sz w:val="22"/>
          <w:szCs w:val="22"/>
        </w:rPr>
        <w:t xml:space="preserve">4.2.h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Any change that raises the standard requires a simple majority of the Senate. Any change that lowers the standard — reducing the knowledge required or the passing threshold — requires a 2/3 supermajority of the Senate. This asymmetry ensures that degradation of the standard is structurally harder than improvement. The Senate may not lower the CLT below the minimum civic knowledge required to understand the structure, powers, limits, and rights of this Constitution. Before any Senate statute that lowers the CLT standard takes effect, the CLT Administrator must publish a certification to the National Record System assessing whether the proposed change meets the constitutional floor — the minimum civic knowledge required to understand the structure, powers, limits, and rights of this Constitution. If the Administrator certifies non-compliance, the statute does not take effect until the Supreme Court reviews the Administrator's finding and either confirms it or determines the proposed standard meets the constitutional floor. The Administrator certifies; the Court reviews the certification for constitutional consistency. The Court does not define the specific content categories of the CLT — that determination belongs to the Administrator. A pre-enactment certification issued by an acting CLT Administrator carries full constitutional weight. The Senate may file an expedited constitutional challenge to the certification within 30 days of its publication to the NRS; the Supreme Court must rule within 14 days of such a challenge. The proposed standard does not take effect until either the 30-day challenge period expires without a Senate challenge or the Court upholds the certification on expedited review.</w:t>
      </w:r>
    </w:p>
    <w:p>
      <w:pPr>
        <w:spacing w:after="60" w:before="60" w:line="280" w:lineRule="auto"/>
        <w:jc w:val="both"/>
      </w:pPr>
      <w:r>
        <w:rPr>
          <w:rFonts w:ascii="Times New Roman" w:cs="Times New Roman" w:eastAsia="Times New Roman" w:hAnsi="Times New Roman"/>
          <w:b/>
          <w:bCs/>
          <w:color w:val="1B2A4A"/>
          <w:sz w:val="22"/>
          <w:szCs w:val="22"/>
        </w:rPr>
        <w:t xml:space="preserve">5.4.b CLT Administrator: </w:t>
      </w:r>
      <w:r>
        <w:rPr>
          <w:rFonts w:ascii="Times New Roman" w:cs="Times New Roman" w:eastAsia="Times New Roman" w:hAnsi="Times New Roman"/>
          <w:color w:val="000000"/>
          <w:sz w:val="22"/>
          <w:szCs w:val="22"/>
        </w:rPr>
        <w:t xml:space="preserve">The Constitutional Logic Test is administered by a CLT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w:t>
      </w:r>
    </w:p>
    <w:p>
      <w:pPr>
        <w:spacing w:after="60" w:before="60" w:line="280" w:lineRule="auto"/>
        <w:jc w:val="both"/>
      </w:pPr>
      <w:r>
        <w:rPr>
          <w:rFonts w:ascii="Times New Roman" w:cs="Times New Roman" w:eastAsia="Times New Roman" w:hAnsi="Times New Roman"/>
          <w:b/>
          <w:bCs/>
          <w:color w:val="1B2A4A"/>
          <w:sz w:val="22"/>
          <w:szCs w:val="22"/>
        </w:rPr>
        <w:t xml:space="preserve">Eligibility Criteria: </w:t>
      </w:r>
      <w:r>
        <w:rPr>
          <w:rFonts w:ascii="Times New Roman" w:cs="Times New Roman" w:eastAsia="Times New Roman" w:hAnsi="Times New Roman"/>
          <w:color w:val="000000"/>
          <w:sz w:val="22"/>
          <w:szCs w:val="22"/>
        </w:rPr>
        <w:t xml:space="preserve">CLT Administrator eligibility criteria — candidates must meet all three requirements: (1) no elected or appointed government position in the prior 5 years; (2) no current financial interest in any entity administering educational testing, citizenship assessment, or civic credentialing services; (3) demonstrated expertise in at least one of: psychometrics and assessment design, constitutional law, educational policy, or civic literacy research. These criteria are the constitutional eligibility floor; the Legislature may by statute establish additional qualification requirements consistent with this floor.</w:t>
      </w:r>
    </w:p>
    <w:p>
      <w:pPr>
        <w:spacing w:after="60" w:before="60" w:line="280" w:lineRule="auto"/>
        <w:jc w:val="both"/>
      </w:pPr>
      <w:r>
        <w:rPr>
          <w:rFonts w:ascii="Times New Roman" w:cs="Times New Roman" w:eastAsia="Times New Roman" w:hAnsi="Times New Roman"/>
          <w:b/>
          <w:bCs/>
          <w:color w:val="1B2A4A"/>
          <w:sz w:val="22"/>
          <w:szCs w:val="22"/>
        </w:rPr>
        <w:t xml:space="preserve">EI Disclosure Review: </w:t>
      </w:r>
      <w:r>
        <w:rPr>
          <w:rFonts w:ascii="Times New Roman" w:cs="Times New Roman" w:eastAsia="Times New Roman" w:hAnsi="Times New Roman"/>
          <w:color w:val="000000"/>
          <w:sz w:val="22"/>
          <w:szCs w:val="22"/>
        </w:rPr>
        <w:t xml:space="preserve">The Executive Inspectorate reviews the submitted record for factual accuracy, applies these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w:t>
      </w:r>
    </w:p>
    <w:p>
      <w:pPr>
        <w:spacing w:after="60" w:before="60" w:line="280" w:lineRule="auto"/>
        <w:jc w:val="both"/>
      </w:pPr>
      <w:r>
        <w:rPr>
          <w:rFonts w:ascii="Times New Roman" w:cs="Times New Roman" w:eastAsia="Times New Roman" w:hAnsi="Times New Roman"/>
          <w:b/>
          <w:bCs/>
          <w:color w:val="1B2A4A"/>
          <w:sz w:val="22"/>
          <w:szCs w:val="22"/>
        </w:rPr>
        <w:t xml:space="preserve">Confirmation and Term: </w:t>
      </w:r>
      <w:r>
        <w:rPr>
          <w:rFonts w:ascii="Times New Roman" w:cs="Times New Roman" w:eastAsia="Times New Roman" w:hAnsi="Times New Roman"/>
          <w:color w:val="000000"/>
          <w:sz w:val="22"/>
          <w:szCs w:val="22"/>
        </w:rPr>
        <w:t xml:space="preserve">The CLT Administrator is confirmed by the Senate and serves a single non-renewable 5-year term. The Administrator may not hold any other government position during their term. The Legislative Inspectorate audits CLT administration annually and publishes findings to the National Record System.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w:t>
      </w:r>
    </w:p>
    <w:p>
      <w:pPr>
        <w:spacing w:after="60" w:before="60" w:line="280" w:lineRule="auto"/>
        <w:jc w:val="both"/>
      </w:pPr>
      <w:r>
        <w:rPr>
          <w:rFonts w:ascii="Times New Roman" w:cs="Times New Roman" w:eastAsia="Times New Roman" w:hAnsi="Times New Roman"/>
          <w:b/>
          <w:bCs/>
          <w:color w:val="1B2A4A"/>
          <w:sz w:val="22"/>
          <w:szCs w:val="22"/>
        </w:rPr>
        <w:t xml:space="preserve">Removal: </w:t>
      </w:r>
      <w:r>
        <w:rPr>
          <w:rFonts w:ascii="Times New Roman" w:cs="Times New Roman" w:eastAsia="Times New Roman" w:hAnsi="Times New Roman"/>
          <w:color w:val="000000"/>
          <w:sz w:val="22"/>
          <w:szCs w:val="22"/>
        </w:rPr>
        <w:t xml:space="preserve">Removal of a permanently confirmed CLT Administrator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Mid-Term Vacancy: </w:t>
      </w:r>
      <w:r>
        <w:rPr>
          <w:rFonts w:ascii="Times New Roman" w:cs="Times New Roman" w:eastAsia="Times New Roman" w:hAnsi="Times New Roman"/>
          <w:color w:val="000000"/>
          <w:sz w:val="22"/>
          <w:szCs w:val="22"/>
        </w:rPr>
        <w:t xml:space="preserve">Upon any mid-term vacancy in the confirmed Administrator role — through death, resignation, or removal — the most senior CLT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 not merely the remainder of the departed Administrator's term.</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Electoral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State discrimination on §1.8 grounds remains reviewable by the courts on the affected applicant's petition.</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 As an example using five regions: a candidate who receives 60% of national first-preference votes and wins 3 of 5 regions would score (0.65 × 0.60) + (0.35 × 3/5) = 0.39 + 0.21 = 0.60, comfortably winning.</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Legislative Inspectorate using the same criteria hierarchy and prohibited inputs that govern House redistricting under §3.4.a and §3.4.b, applied at the regional scale. The LI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 xml:space="preserve">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Inspectorate.7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reviews State-drawn federal House district maps for compliance (§3.4), and draws presidential election regions (§7.2.c).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(§12.5.c),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Qualified Jurist Registry;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The Qualified Jurist Pool: </w:t>
      </w:r>
      <w:r>
        <w:rPr>
          <w:rFonts w:ascii="Times New Roman" w:cs="Times New Roman" w:eastAsia="Times New Roman" w:hAnsi="Times New Roman"/>
          <w:color w:val="000000"/>
          <w:sz w:val="22"/>
          <w:szCs w:val="22"/>
        </w:rPr>
        <w:t xml:space="preserve">Maintained by the outgoing Judicial IG. A candidate seeking Registry inclusion must submit a registration record to the Judicial Inspectorate. The record must include professional background, credentials in constitutional law, financial disclosures, and the candidate's complete prior government position history. The JI reviews the submitted record for factual accuracy, applies the Registry criteria — knowledge of constitutional law, no government position in the prior 10 years, no financial conflicts of interest, no prior disqualifying conduct — and publishes the record together with its recommendation to the National Record System. These criteria are fixed and may only be altered by constitutional amendment. The existing appeals process under §8.9.d applies to any Registry exclusion determination. Any citizen who identifies a discrepancy in a published registration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000000"/>
          <w:sz w:val="22"/>
          <w:szCs w:val="22"/>
        </w:rPr>
        <w:t xml:space="preserve">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Qualified Jurist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mandate is price stability and fiscal solvency.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 xml:space="preserve">The Republic provides standardized housing for officials in session — no luxury stipends. All officials use the same healthcare, retirement, and public infrastructure as the citizens they serve. Compensation is defined by House statute under §10.6. 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Authorization Tiers</w:t>
      </w:r>
    </w:p>
    <w:p>
      <w:pPr>
        <w:spacing w:after="60" w:before="60" w:line="280" w:lineRule="auto"/>
        <w:jc w:val="both"/>
      </w:pPr>
      <w:r>
        <w:rPr>
          <w:rFonts w:ascii="Times New Roman" w:cs="Times New Roman" w:eastAsia="Times New Roman" w:hAnsi="Times New Roman"/>
          <w:color w:val="000000"/>
          <w:sz w:val="22"/>
          <w:szCs w:val="22"/>
        </w:rPr>
        <w:t xml:space="preserve">All military operations are authorized under one of three tiers as defined in §2.1.a through §2.1.c. This section governs the Legislative Declaration of Defense — Tier 3, the highest level of military authorization, requiring a 2/3 majority of both chambers and used for operations extending beyond 30 days — and its duration, renewal, and limitations.</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A Legislative Declaration of Defense — passed by a 2/3 concurrent majority of both chambers — authorizes extended military operations and triggers the Emergency Defense Allocation. The Declaration must be re-voted every 180 days. Failure to re-authorize automatically terminates the operation and the allocation.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Five-Year Maximum: </w:t>
      </w:r>
      <w:r>
        <w:rPr>
          <w:rFonts w:ascii="Times New Roman" w:cs="Times New Roman" w:eastAsia="Times New Roman" w:hAnsi="Times New Roman"/>
          <w:color w:val="000000"/>
          <w:sz w:val="22"/>
          <w:szCs w:val="22"/>
        </w:rPr>
        <w:t xml:space="preserve">A Legislative Declaration of Defense may be renewed for a maximum of 10 consecutive 180-day periods — five years total — without a mandatory cessation. After five years of continuous Declaration, a 90-day full cessation is required before a new Declaration may be issued. During cessation, all emergency powers revert to normal constitutional operation. Tier 1 defensive authority remains available during cessation if a genuine immediate threat arises.</w:t>
      </w:r>
    </w:p>
    <w:p>
      <w:pPr>
        <w:spacing w:after="60" w:before="60" w:line="280" w:lineRule="auto"/>
        <w:jc w:val="both"/>
      </w:pPr>
      <w:r>
        <w:rPr>
          <w:rFonts w:ascii="Times New Roman" w:cs="Times New Roman" w:eastAsia="Times New Roman" w:hAnsi="Times New Roman"/>
          <w:b/>
          <w:bCs/>
          <w:color w:val="1B2A4A"/>
          <w:sz w:val="22"/>
          <w:szCs w:val="22"/>
        </w:rPr>
        <w:t xml:space="preserve">12.2.c Successive Declaration Standard: </w:t>
      </w:r>
      <w:r>
        <w:rPr>
          <w:rFonts w:ascii="Times New Roman" w:cs="Times New Roman" w:eastAsia="Times New Roman" w:hAnsi="Times New Roman"/>
          <w:color w:val="000000"/>
          <w:sz w:val="22"/>
          <w:szCs w:val="22"/>
        </w:rPr>
        <w:t xml:space="preserve">A new Legislative Declaration of Defense issued within 12 months of a mandatory cessation must be based on a materially different threat from that which justified the prior Declaration — meaning a distinct adversary, a different geographic theater, or a qualitatively different form of attack, not a resumption of the same conflict under a different pretext. The Legislative Inspectorate reviews any such Declaration within 15 days of passage and publishes a factual finding on whether the stated threat meets this standard. A finding that the threat does not meet the standard is published to the NRS and transmitted to the Legislature standing oversight committees; the Legislature may initiate proceedings within 60 days. This provision does not prevent genuine re-declarations where circumstances have materially changed.</w:t>
      </w:r>
    </w:p>
    <w:p>
      <w:pPr>
        <w:spacing w:after="60" w:before="60" w:line="280" w:lineRule="auto"/>
        <w:jc w:val="both"/>
      </w:pPr>
      <w:r>
        <w:rPr>
          <w:rFonts w:ascii="Times New Roman" w:cs="Times New Roman" w:eastAsia="Times New Roman" w:hAnsi="Times New Roman"/>
          <w:b/>
          <w:bCs/>
          <w:color w:val="1B2A4A"/>
          <w:sz w:val="22"/>
          <w:szCs w:val="22"/>
        </w:rPr>
        <w:t xml:space="preserve">12.2.d Senate Armed Services Committee: </w:t>
      </w:r>
      <w:r>
        <w:rPr>
          <w:rFonts w:ascii="Times New Roman" w:cs="Times New Roman" w:eastAsia="Times New Roman" w:hAnsi="Times New Roman"/>
          <w:color w:val="000000"/>
          <w:sz w:val="22"/>
          <w:szCs w:val="22"/>
        </w:rPr>
        <w:t xml:space="preserve">The Senate Armed Services Committee exercises the Tier 2 military authorization function of §2.1.b. Its composition and procedures are defined by Senate statute, subject to the following constitutional minimums: the Committee must include both majority and minority Senate representation; its composition may not be altered during any active Tier 2 or Tier 3 military authorization period; and it must be capable of convening within 48 hours at any time. Committee members hold their positions for the duration of their Senate terms. Authorization decisions are published to the National Record System within 24 hours of the vote. Where the Senate Speaker or other constitutional successor assumes presidential defense functions under §2.6.a, the Senate Armed Services Committee may review but may not unilaterally pause, modify, or terminate ongoing operations already authorized by a Legislative Declaration without a new Senate vote meeting the threshold that authorized the original Declaration. This provision protects the operational continuity of constitutionally authorized military commitments during presidential succession events. Where two or more persons simultaneously claim presidential authority and the Supreme Court has issued a ruling identifying the constitutional President, all military commands must recognize the Court-identified President as the lawful Commander-in-Chief within 6 hours of the ruling's publication to the National Record System. Failure to transfer military command recognition within 6 hours of a Supreme Court ruling on presidential succession constitutes insubordination under military law and a constitutional violation for any commissioned officer who issues or follows orders from the non-Court-identified claimant after that 6-hour period.</w:t>
      </w:r>
    </w:p>
    <w:p>
      <w:pPr>
        <w:spacing w:after="60" w:before="60" w:line="280" w:lineRule="auto"/>
        <w:jc w:val="both"/>
      </w:pPr>
      <w:r>
        <w:rPr>
          <w:rFonts w:ascii="Times New Roman" w:cs="Times New Roman" w:eastAsia="Times New Roman" w:hAnsi="Times New Roman"/>
          <w:b/>
          <w:bCs/>
          <w:color w:val="1B2A4A"/>
          <w:sz w:val="22"/>
          <w:szCs w:val="22"/>
        </w:rPr>
        <w:t xml:space="preserve">12.2.e Military Authority During Presidential Succession Vacuum: </w:t>
      </w:r>
      <w:r>
        <w:rPr>
          <w:rFonts w:ascii="Times New Roman" w:cs="Times New Roman" w:eastAsia="Times New Roman" w:hAnsi="Times New Roman"/>
          <w:color w:val="000000"/>
          <w:sz w:val="22"/>
          <w:szCs w:val="22"/>
        </w:rPr>
        <w:t xml:space="preserve">Where the presidential succession line under §2.6.a is fully exhausted and no living constitutional officer has presidential authority, the Chairman of the Joint Chiefs of Staff is constitutionally authorized to continue military operations already underway at the precise moment the succession vacuum begins, and to issue orders strictly necessary to protect Republic forces from active, immediate attack — meaning return fire and immediate defensive maneuvering only. The Chairman may not initiate, reposition, or escalate beyond ongoing operations. All orders issued under this provision are published to the National Record System within one hour of issuance and are subject to immediate Supreme Court review on petition. This authority terminates after 14 days. During this period, the Chairman may not initiate offensive operations, commit forces to new theaters, or conduct foreign diplomatic communications constituting treaty obligations. All actions taken under this provision are published to the National Record System as they occur and are subject to full legislative review upon reconstitution of civilian authority. This authority terminates immediately and automatically upon any constitutional successor assuming presidential authority under §2.6.a or by expedited §2.8 Senate emergency resolution.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color w:val="000000"/>
          <w:sz w:val="22"/>
          <w:szCs w:val="22"/>
        </w:rPr>
        <w:t xml:space="preserve">All domestic intelligence operations against Republic citizens are permanently prohibited. Any such order is reported to the National Record System by the relevant Inspectorate against the President and Director of Intelligence, triggering immediate suspension and a Senate trial within a period the Legislature defines by statute, not to exceed 7 days.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which must be fulfilled through constitutional means.</w:t>
      </w:r>
    </w:p>
    <w:p>
      <w:pPr>
        <w:spacing w:after="60" w:before="60" w:line="280" w:lineRule="auto"/>
        <w:jc w:val="both"/>
      </w:pPr>
      <w:r>
        <w:rPr>
          <w:rFonts w:ascii="Times New Roman" w:cs="Times New Roman" w:eastAsia="Times New Roman" w:hAnsi="Times New Roman"/>
          <w:b/>
          <w:bCs/>
          <w:color w:val="1B2A4A"/>
          <w:sz w:val="22"/>
          <w:szCs w:val="22"/>
        </w:rPr>
        <w:t xml:space="preserve">12.5.a Treaty Emergency Certification: </w:t>
      </w:r>
      <w:r>
        <w:rPr>
          <w:rFonts w:ascii="Times New Roman" w:cs="Times New Roman" w:eastAsia="Times New Roman" w:hAnsi="Times New Roman"/>
          <w:color w:val="000000"/>
          <w:sz w:val="22"/>
          <w:szCs w:val="22"/>
        </w:rPr>
        <w:t xml:space="preserve">When a ratified mutual defense treaty is triggered, the Prime Minister may issue a Treaty Emergency Certification of funds for treaty-obligated military operations, valid for 30 days, without prior parliamentary appropriation. This is available only where: a ratified mutual defense treaty is triggered; the President has invoked at least Tier 1 authority; and the Legislature is being convened for an emergency session. The PM must notify both chambers in writing within 12 hours of issuing the Certification. Within 14 days of issuance, the Legislative and Executive Inspectorates jointly review and publish a factual finding on whether the triggering incident is an attack on a treaty ally under the terms of the treaty. This finding is advisory and does not invalidate the Certification, but is published before the Legislature votes on ratification so the Legislature acts with full public information.</w:t>
      </w:r>
    </w:p>
    <w:p>
      <w:pPr>
        <w:spacing w:after="60" w:before="60" w:line="280" w:lineRule="auto"/>
        <w:jc w:val="both"/>
      </w:pPr>
      <w:r>
        <w:rPr>
          <w:rFonts w:ascii="Times New Roman" w:cs="Times New Roman" w:eastAsia="Times New Roman" w:hAnsi="Times New Roman"/>
          <w:b/>
          <w:bCs/>
          <w:color w:val="1B2A4A"/>
          <w:sz w:val="22"/>
          <w:szCs w:val="22"/>
        </w:rPr>
        <w:t xml:space="preserve">12.5.b Legislative Ratification: </w:t>
      </w:r>
      <w:r>
        <w:rPr>
          <w:rFonts w:ascii="Times New Roman" w:cs="Times New Roman" w:eastAsia="Times New Roman" w:hAnsi="Times New Roman"/>
          <w:color w:val="000000"/>
          <w:sz w:val="22"/>
          <w:szCs w:val="22"/>
        </w:rPr>
        <w:t xml:space="preserve">the Legislature must ratify the Treaty Emergency Certification by a simple majority of both chambers within a period the Legislature defines by statute, or the Certification expires. the Legislature may not schedule a ratification vote until the LI/EI joint review under §12.5.a has been published, or until the statutory waiting period has elapsed without publication. the Legislature may ratify before the review is published by an elevated majority the Legislature defines by statute, acknowledging it acts without the advisory review. Ratification of the Certification does not constitute a Legislative Declaration of Defense under §2.1.c; a separate Declaration is required if operations extend beyond 30 days. the Legislature must by statute establish the waiting period before ratification, the elevated majority for early ratification, and the content requirements for the ratification resolution. Constitutional Default: In the absence of a statute defining the ratification period, the Legislature may not vote on Treaty Emergency Certification ratification until the joint LI/EI review under §12.5.a has been published to the NRS, or 14 days have elapsed from the Certification filing date, whichever occurs first. This default applies automatically.</w:t>
      </w:r>
    </w:p>
    <w:p>
      <w:pPr>
        <w:spacing w:after="60" w:before="60" w:line="280" w:lineRule="auto"/>
        <w:jc w:val="both"/>
      </w:pPr>
      <w:r>
        <w:rPr>
          <w:rFonts w:ascii="Times New Roman" w:cs="Times New Roman" w:eastAsia="Times New Roman" w:hAnsi="Times New Roman"/>
          <w:b/>
          <w:bCs/>
          <w:color w:val="1B2A4A"/>
          <w:sz w:val="22"/>
          <w:szCs w:val="22"/>
        </w:rPr>
        <w:t xml:space="preserve">12.5.c No Blank Check: </w:t>
      </w:r>
      <w:r>
        <w:rPr>
          <w:rFonts w:ascii="Times New Roman" w:cs="Times New Roman" w:eastAsia="Times New Roman" w:hAnsi="Times New Roman"/>
          <w:color w:val="000000"/>
          <w:sz w:val="22"/>
          <w:szCs w:val="22"/>
        </w:rPr>
        <w:t xml:space="preserve">The Treaty Emergency Certification covers operational costs for the initial response period only. It may not be used to fund force structure changes, new weapons systems acquisition, or operations not directly connected to the specific treaty obligation that triggered it. The Executive Inspectorate audits all Treaty Emergency Certification expenditures and publishes findings within 60 days of the Certification's expiration or ratification.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Offensive Military Operations</w:t>
      </w:r>
    </w:p>
    <w:p>
      <w:pPr>
        <w:spacing w:after="60" w:before="60" w:line="280" w:lineRule="auto"/>
        <w:jc w:val="both"/>
      </w:pPr>
      <w:r>
        <w:rPr>
          <w:rFonts w:ascii="Times New Roman" w:cs="Times New Roman" w:eastAsia="Times New Roman" w:hAnsi="Times New Roman"/>
          <w:b/>
          <w:bCs/>
          <w:color w:val="1B2A4A"/>
          <w:sz w:val="22"/>
          <w:szCs w:val="22"/>
        </w:rPr>
        <w:t xml:space="preserve">12.6.a Prohibition on Wars of Aggression: </w:t>
      </w:r>
      <w:r>
        <w:rPr>
          <w:rFonts w:ascii="Times New Roman" w:cs="Times New Roman" w:eastAsia="Times New Roman" w:hAnsi="Times New Roman"/>
          <w:color w:val="000000"/>
          <w:sz w:val="22"/>
          <w:szCs w:val="22"/>
        </w:rPr>
        <w:t xml:space="preserve">The Republic may not initiate or sustain offensive military operations for the purpose of territorial acquisition, resource extraction, political control over a foreign population, or ideological imposition. Any Legislative Declaration or executive order purporting to authorize an operation for a prohibited purpose is void. §12.1's three authorized purposes — border protection and territorial integrity, defense of treaty allies, and systemic intervention to prevent genocide or civilizational collapse — are the exhaustive grounds on which offensive operations may be authorized. Purposes not enumerated in §12.1 do not qualify.</w:t>
      </w:r>
    </w:p>
    <w:p>
      <w:pPr>
        <w:spacing w:after="60" w:before="60" w:line="280" w:lineRule="auto"/>
        <w:jc w:val="both"/>
      </w:pPr>
      <w:r>
        <w:rPr>
          <w:rFonts w:ascii="Times New Roman" w:cs="Times New Roman" w:eastAsia="Times New Roman" w:hAnsi="Times New Roman"/>
          <w:b/>
          <w:bCs/>
          <w:color w:val="1B2A4A"/>
          <w:sz w:val="22"/>
          <w:szCs w:val="22"/>
        </w:rPr>
        <w:t xml:space="preserve">12.6.b Definition — Offensive Operation: </w:t>
      </w:r>
      <w:r>
        <w:rPr>
          <w:rFonts w:ascii="Times New Roman" w:cs="Times New Roman" w:eastAsia="Times New Roman" w:hAnsi="Times New Roman"/>
          <w:color w:val="000000"/>
          <w:sz w:val="22"/>
          <w:szCs w:val="22"/>
        </w:rPr>
        <w:t xml:space="preserve">An offensive military operation is any sustained military operation in which Republic armed forces cross into foreign sovereign territory for purposes extending beyond the immediate repulsion of an active attack on Republic territory, Republic forces, or the territory of a treaty ally under §12.5. Hot-pursuit operations lasting less than 72 hours in response to an attack originating from foreign territory are not offensive operations for purposes of this section.</w:t>
      </w:r>
    </w:p>
    <w:p>
      <w:pPr>
        <w:spacing w:after="60" w:before="60" w:line="280" w:lineRule="auto"/>
        <w:jc w:val="both"/>
      </w:pPr>
      <w:r>
        <w:rPr>
          <w:rFonts w:ascii="Times New Roman" w:cs="Times New Roman" w:eastAsia="Times New Roman" w:hAnsi="Times New Roman"/>
          <w:b/>
          <w:bCs/>
          <w:color w:val="1B2A4A"/>
          <w:sz w:val="22"/>
          <w:szCs w:val="22"/>
        </w:rPr>
        <w:t xml:space="preserve">12.6.c Offensive Operations Declaration: </w:t>
      </w:r>
      <w:r>
        <w:rPr>
          <w:rFonts w:ascii="Times New Roman" w:cs="Times New Roman" w:eastAsia="Times New Roman" w:hAnsi="Times New Roman"/>
          <w:color w:val="000000"/>
          <w:sz w:val="22"/>
          <w:szCs w:val="22"/>
        </w:rPr>
        <w:t xml:space="preserve">Offensive military operations require an Offensive Operations Declaration — a Legislative Declaration passed by a 2/3 concurrent supermajority of both chambers. In addition to the requirements of §12.2.a, the Declaration must specify: (1) which of the three §12.1 purposes the operation serves, with supporting factual findings; (2) the specific foreign state or territory in which operations will be conducted and the geographic boundaries of the authorized theater; (3) the operational objectives whose achievement constitutes the primary condition for cessation; (4) the conditions under which the Republic will accept a negotiated resolution short of full operational objectives; (5) a maximum authorized duration not exceeding 3 years — shorter than the defensive war maximum of 5 years under §12.2.b, reflecting the higher constitutional burden of offensive action; and (6) a preliminary transition plan as required by §12.4, even where planning is necessarily incomplete. The Declaration is renewed every 180 days under §12.2.a. Failure to renew terminates offensive operations; Republic forces must withdraw to defensive positions within Republic or treaty-ally territory within 30 days of termination.</w:t>
      </w:r>
    </w:p>
    <w:p>
      <w:pPr>
        <w:spacing w:after="60" w:before="60" w:line="280" w:lineRule="auto"/>
        <w:jc w:val="both"/>
      </w:pPr>
      <w:r>
        <w:rPr>
          <w:rFonts w:ascii="Times New Roman" w:cs="Times New Roman" w:eastAsia="Times New Roman" w:hAnsi="Times New Roman"/>
          <w:b/>
          <w:bCs/>
          <w:color w:val="1B2A4A"/>
          <w:sz w:val="22"/>
          <w:szCs w:val="22"/>
        </w:rPr>
        <w:t xml:space="preserve">12.6.d Inspectorate Review: </w:t>
      </w:r>
      <w:r>
        <w:rPr>
          <w:rFonts w:ascii="Times New Roman" w:cs="Times New Roman" w:eastAsia="Times New Roman" w:hAnsi="Times New Roman"/>
          <w:color w:val="000000"/>
          <w:sz w:val="22"/>
          <w:szCs w:val="22"/>
        </w:rPr>
        <w:t xml:space="preserve">Within 21 days of an Offensive Operations Declaration's passage, the Legislative Inspectorate publishes a factual assessment addressing: whether the stated operational objectives are consistent with the §12.1 purpose declared; whether the geographic scope is proportionate to those objectives; and whether the preliminary transition plan is adequate under §12.4. The assessment is advisory — it does not invalidate the Declaration — but is published before the first 180-day renewal vote, ensuring the Legislature renews with full public information. Where the LI finds the declared purpose is not supported by the available factual record, that finding is published to the National Record System and transmitted to the Legislature's standing oversight committees, who may initiate proceedings within 30 days.</w:t>
      </w:r>
    </w:p>
    <w:p>
      <w:pPr>
        <w:spacing w:after="60" w:before="60" w:line="280" w:lineRule="auto"/>
        <w:jc w:val="both"/>
      </w:pPr>
      <w:r>
        <w:rPr>
          <w:rFonts w:ascii="Times New Roman" w:cs="Times New Roman" w:eastAsia="Times New Roman" w:hAnsi="Times New Roman"/>
          <w:b/>
          <w:bCs/>
          <w:color w:val="1B2A4A"/>
          <w:sz w:val="22"/>
          <w:szCs w:val="22"/>
        </w:rPr>
        <w:t xml:space="preserve">12.6.e Preemptive Operations — Interim Authority: </w:t>
      </w:r>
      <w:r>
        <w:rPr>
          <w:rFonts w:ascii="Times New Roman" w:cs="Times New Roman" w:eastAsia="Times New Roman" w:hAnsi="Times New Roman"/>
          <w:color w:val="000000"/>
          <w:sz w:val="22"/>
          <w:szCs w:val="22"/>
        </w:rPr>
        <w:t xml:space="preserve">Where the President has reasonable grounds, supported by intelligence shared in full with the Senate Armed Services Committee, to believe that a foreign state is in active preparation for an imminent attack on the Republic and the operational window for effective defensive response will close within 14 days, the President may invoke Tier 2 authority under §2.1.b for preemptive offensive operations. The Senate Armed Services Committee must convene within 24 hours of invocation. Preemptive authority under this provision lasts a maximum of 14 days. If an Offensive Operations Declaration has not been enacted within that period, all offensive operations beyond Republic territory must cease and forces must return to defensive posture. This authority may not be invoked on the basis of intelligence withheld from the Committee, and the President's intelligence certification is published to the National Record System within 48 hours of invocation.</w:t>
      </w:r>
    </w:p>
    <w:p>
      <w:pPr>
        <w:spacing w:after="60" w:before="60" w:line="280" w:lineRule="auto"/>
        <w:jc w:val="both"/>
      </w:pPr>
      <w:r>
        <w:rPr>
          <w:rFonts w:ascii="Times New Roman" w:cs="Times New Roman" w:eastAsia="Times New Roman" w:hAnsi="Times New Roman"/>
          <w:b/>
          <w:bCs/>
          <w:color w:val="1B2A4A"/>
          <w:sz w:val="22"/>
          <w:szCs w:val="22"/>
        </w:rPr>
        <w:t xml:space="preserve">12.6.f NRS Accountability: </w:t>
      </w:r>
      <w:r>
        <w:rPr>
          <w:rFonts w:ascii="Times New Roman" w:cs="Times New Roman" w:eastAsia="Times New Roman" w:hAnsi="Times New Roman"/>
          <w:color w:val="000000"/>
          <w:sz w:val="22"/>
          <w:szCs w:val="22"/>
        </w:rPr>
        <w:t xml:space="preserve">All Offensive Operations Declarations, fund certifications, 180-day renewal votes, operational objective assessments, stand-down orders, and transition plan submissions are published to the National Record System within 24 hours of their occurrence. The Executive Inspectorate's annual military constitutional compliance assessment includes a dedicated section on offensive operations: whether ongoing operations are conducted within the declared geographic scope; whether fund certifications correspond to authorized operational purposes; and whether the non-aggression prohibition of §12.6.a is being observed. Any EI finding that operations have exceeded their authorized scope or purpose constitutes a published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12.6.g Relationship to §12.1: </w:t>
      </w:r>
      <w:r>
        <w:rPr>
          <w:rFonts w:ascii="Times New Roman" w:cs="Times New Roman" w:eastAsia="Times New Roman" w:hAnsi="Times New Roman"/>
          <w:color w:val="000000"/>
          <w:sz w:val="22"/>
          <w:szCs w:val="22"/>
        </w:rPr>
        <w:t xml:space="preserve">§12.1's three authorized purposes define the substantive grounds for military force; §12.6 defines the procedural authorization required when those purposes require offensive operations in foreign territory. A Legislature may not invoke §12.1's purposes to authorize offensive operations without the specific findings and enhanced threshold of §12.6.c — the purpose authorization and the operational authorization are both constitutionally required. §12.1 is amended to add at its conclusion: Where §12.1 purposes require offensive military operations as defined in §12.6.b, the authorization mechanism of §12.6 applies.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13.5 — Associated Community Cross-Reference</w:t>
      </w:r>
    </w:p>
    <w:p>
      <w:pPr>
        <w:spacing w:after="60" w:before="60" w:line="280" w:lineRule="auto"/>
        <w:jc w:val="both"/>
      </w:pPr>
      <w:r>
        <w:rPr>
          <w:rFonts w:ascii="Times New Roman" w:cs="Times New Roman" w:eastAsia="Times New Roman" w:hAnsi="Times New Roman"/>
          <w:b/>
          <w:bCs/>
          <w:color w:val="1B2A4A"/>
          <w:sz w:val="22"/>
          <w:szCs w:val="22"/>
        </w:rPr>
        <w:t xml:space="preserve">13.5 Associated Community Relationships: </w:t>
      </w:r>
      <w:r>
        <w:rPr>
          <w:rFonts w:ascii="Times New Roman" w:cs="Times New Roman" w:eastAsia="Times New Roman" w:hAnsi="Times New Roman"/>
          <w:color w:val="000000"/>
          <w:sz w:val="22"/>
          <w:szCs w:val="22"/>
        </w:rPr>
        <w:t xml:space="preserve">Associated Community status — the constitutional framework governing compact relationships between the Republic and sovereign entities — is established in Article XX of this Constitution. §13.5 is reserved for the Article XX cross-reference. See Article XX for all provisions governing the establishment, terms, conditions, and termination of Associated Community compacts.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15.1.c Citizen-Led Path: </w:t>
      </w:r>
      <w:r>
        <w:rPr>
          <w:rFonts w:ascii="Times New Roman" w:cs="Times New Roman" w:eastAsia="Times New Roman" w:hAnsi="Times New Roman"/>
          <w:color w:val="000000"/>
          <w:sz w:val="22"/>
          <w:szCs w:val="22"/>
        </w:rPr>
        <w:t xml:space="preserve">A national vote conducted through the National Voting System achieving 70% affirmative support with at least 65% citizen participation. If participation exceeds 60% but falls short of 65% and the affirmative vote exceeds 75%, the Judicial Inspectorate may certify the amendment as presumptively valid subject to Supreme Court review within 30 days. The Electoral Commission certifies the result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 xml:space="preserve">16.5.c Removal: </w:t>
      </w:r>
      <w:r>
        <w:rPr>
          <w:rFonts w:ascii="Times New Roman" w:cs="Times New Roman" w:eastAsia="Times New Roman" w:hAnsi="Times New Roman"/>
          <w:color w:val="000000"/>
          <w:sz w:val="22"/>
          <w:szCs w:val="22"/>
        </w:rPr>
        <w:t xml:space="preserve">Electoral Commission members may only be removed by Track 1 For-Cause removal (§8.5), requiring a 2/3 vote of both chambers simultaneously, preceded by State Designee Panel verification under §8.9. No-Cause removal is not available for Electoral Commission members. Any removal attempt within 180 days of a national election at which more than 20% of seated national offices are on the ballot is automatically suspended pending Supreme Court review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 xml:space="preserve">The National Trust is administered by a National Trust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National Trust Administrator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holds, develops, or seeks to develop National Trust lands, or that derives commercial benefit from activities within National Trust lands; demonstrated expertise in at least one of — ecological stewardship and conservation management, public land management and administration, environmental law, or natural resource governance;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The Administrator is confirmed by the Senate and serves a single non-renewable 5-year term. The Legislative Inspectorate audits National Trust management annually against the stewardship obligation of §17.4.b and publishes its findings to the NRS.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Removal of a permanently confirmed National Trust Administrator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National Trust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 xml:space="preserve">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This Constitution is activated upon: </w:t>
      </w:r>
      <w:r>
        <w:rPr>
          <w:rFonts w:ascii="Times New Roman" w:cs="Times New Roman" w:eastAsia="Times New Roman" w:hAnsi="Times New Roman"/>
          <w:color w:val="000000"/>
          <w:sz w:val="22"/>
          <w:szCs w:val="22"/>
        </w:rPr>
        <w:t xml:space="preserve">(1) certification by the interim Electoral Commission that the National Voting System is operational and meets the properties of §16.3; and (2) a national ratification vote conducted through the National Voting System achieving 60% affirmative support with at least 50% participation. 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 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18-month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an 18-month,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open-candidacy judicial election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18-month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18-month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spacing w:after="60" w:before="60" w:line="280" w:lineRule="auto"/>
        <w:jc w:val="both"/>
      </w:pPr>
      <w:r>
        <w:rPr>
          <w:rFonts w:ascii="Times New Roman" w:cs="Times New Roman" w:eastAsia="Times New Roman" w:hAnsi="Times New Roman"/>
          <w:b/>
          <w:bCs/>
          <w:color w:val="1B2A4A"/>
          <w:sz w:val="22"/>
          <w:szCs w:val="22"/>
        </w:rPr>
        <w:t xml:space="preserve">19.7.e Joint Inspectorate Panel Role: </w:t>
      </w:r>
      <w:r>
        <w:rPr>
          <w:rFonts w:ascii="Times New Roman" w:cs="Times New Roman" w:eastAsia="Times New Roman" w:hAnsi="Times New Roman"/>
          <w:color w:val="000000"/>
          <w:sz w:val="22"/>
          <w:szCs w:val="22"/>
        </w:rPr>
        <w:t xml:space="preserve">The joint Inspectorate panel is the receiving body for all Transition-Period territorial elections and subdivision elections under this section. It verifies that submitted resolutions meet the constitutional requirements, coordinates Statehood Audit scheduling with the Legislative Inspectorate, and maintains the official registry of each state's transition status — State, Territory-by-election, Territory-by-audit, or Subdivision-in-progress — on the National Record System throughout the Transition Window. The panel publishes a complete transition status map updated monthly during Phase 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 The panel may draw on candidates with experience in prior government fiscal or technical institutions where those institutions were not assessed as having participated in the conduct requiring reform; on international expertise from recognized fiscal, monetary, or technical bodies where domestic expertise is unavailable or compromised; and on citizens residing abroad whose expertise is domestic expertise for this purpose. The panel must publish its assessment of available expertise sources to the National Record System before constituting any Register.</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SCHEDULE A — AUTHORITY REFERENCE MATRIX</w:t>
      </w:r>
    </w:p>
    <w:p>
      <w:pPr>
        <w:spacing w:after="60" w:before="60" w:line="280" w:lineRule="auto"/>
        <w:jc w:val="both"/>
      </w:pPr>
      <w:r>
        <w:rPr>
          <w:rFonts w:ascii="Times New Roman" w:cs="Times New Roman" w:eastAsia="Times New Roman" w:hAnsi="Times New Roman"/>
          <w:color w:val="000000"/>
          <w:sz w:val="22"/>
          <w:szCs w:val="22"/>
        </w:rPr>
        <w:t xml:space="preserve">This Schedule is a non-operative reference guide summarizing key constitutional provisions, authority allocations, and procedural rules. It is provided for navigational clarity and citizen accessibility. In the event of any inconsistency between this Schedule and the operative text of Articles I through XIX, the operative text prevails. This Schedule has no independent legal effect and may be revised by the Legislative Inspectorate to reflect constitutional amendments without the amendment process applying to the Schedule itself.</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2026-05-11T04:09:53.791Z</dcterms:created>
  <dcterms:modified xsi:type="dcterms:W3CDTF">2026-05-11T04:09:53.808Z</dcterms:modified>
</cp:coreProperties>
</file>

<file path=docProps/custom.xml><?xml version="1.0" encoding="utf-8"?>
<Properties xmlns="http://schemas.openxmlformats.org/officeDocument/2006/custom-properties" xmlns:vt="http://schemas.openxmlformats.org/officeDocument/2006/docPropsVTypes"/>
</file>