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of absolute majority applies throughout this Constitution wherever the term appears.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 In the absence of a statute under this section at the time a second consecutive dissolution occurs, the Senate may by 2/3 vote of its full seated membership appoint a Caretaker PM with full PM authority. The Caretaker PM appointed under this backstop serves until the reconstituted House seats a PM through the ordinary confidence process. This Senate backstop operates only where no statute has been enacted — its first activation constitutes a Notice of Legislative Inaction under §3.3.a requiring the Legislature to enact the statute within the next full session.</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 </w:t>
      </w:r>
      <w:r>
        <w:rPr>
          <w:rFonts w:ascii="Arial" w:cs="Arial" w:eastAsia="Arial" w:hAnsi="Arial"/>
          <w:color w:val="000000"/>
          <w:sz w:val="22"/>
          <w:szCs w:val="22"/>
        </w:rPr>
        <w:t>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r>
        <w:rPr>
          <w:b/>
        </w:rPr>
        <w:t xml:space="preserve">3.1.f House Term Limits: </w:t>
      </w:r>
      <w: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 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 Where the PM fails to nominate within 90 days and the Supreme Court nominates directly from the Qualified Jurist Registry, the Judicial Inspectorate's existing vetting of that Registry record under §8.4.a serves as the equivalent disclosure review for that nomination — no separate EI review is required for SC-originated nominations.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r>
        <w:rPr>
          <w:b/>
        </w:rPr>
        <w:t xml:space="preserve">4.1.d Judicial Tenure Protection: </w:t>
      </w:r>
      <w: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r>
        <w:rPr>
          <w:b/>
        </w:rPr>
        <w:t xml:space="preserve">4.3.b Organizational Standing: </w:t>
      </w:r>
      <w: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r>
        <w:rPr>
          <w:b/>
        </w:rPr>
        <w:t xml:space="preserve">4.3.c Ripeness and Mootness: </w:t>
      </w:r>
      <w: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4.4.e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4.4.f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MA Director Ballot Access — Narrow Disqualifiers: 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constitutional Rule Violation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 MA Director Candidate Register and Disclosure: 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Rule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 MA Director Advisory Assessment: 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 MA Board Member Eligibility: 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constitutional Rule Violation conviction during any prior period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 Constitutional Default: In the absence of a statute defining the ratification period, the Legislature may not vote on Treaty Emergency Certification ratification until the joint LI/EI review under §12.5.a has been published to the NRS, or 14 days have elapsed from the Certification filing date, whichever occurs first. This default applies automatically.</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r>
        <w:rPr>
          <w:b/>
        </w:rPr>
        <w:t xml:space="preserve">14.6 Indigenous Nation Status Elections: </w:t>
      </w:r>
      <w:r>
        <w:t>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br/>
        <w:t>Four status options are available:</w:t>
        <w:br/>
        <w:t>(a)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br/>
        <w:t>(b)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br/>
        <w:t>(c)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br/>
        <w:t>(d)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br/>
        <w:t>Process: 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r>
        <w:rPr>
          <w:b/>
        </w:rPr>
        <w:t xml:space="preserve">15.6.b Federal-State Statutory Hierarchy: </w:t>
      </w:r>
      <w: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constitutional Rule Violation conviction during any prior period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 within three years of Phase 4 activation. Failure to enact within this period constitutes a Rule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Rule Violation continues until the Legislature acts.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19.9.a Establishment and Purpose: 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State Designee Panel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