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600" w:before="0"/>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1000125"/>
                    </a:xfrm>
                    <a:prstGeom prst="rect">
                      <a:avLst/>
                    </a:prstGeom>
                  </pic:spPr>
                </pic:pic>
              </a:graphicData>
            </a:graphic>
          </wp:inline>
        </w:drawing>
      </w:r>
    </w:p>
    <w:p>
      <w:pPr>
        <w:spacing w:after="200" w:before="0"/>
        <w:jc w:val="center"/>
      </w:pPr>
      <w:r>
        <w:rPr>
          <w:rFonts w:ascii="Garamond" w:cs="Garamond" w:eastAsia="Garamond" w:hAnsi="Garamond"/>
          <w:b/>
          <w:bCs/>
          <w:i w:val="false"/>
          <w:iCs w:val="false"/>
          <w:color w:val="1B2A4A"/>
          <w:sz w:val="44"/>
          <w:szCs w:val="44"/>
        </w:rPr>
        <w:t xml:space="preserve">THE FEDERATED REPUBLIC</w:t>
      </w:r>
    </w:p>
    <w:p>
      <w:pPr>
        <w:spacing w:after="200" w:before="0"/>
        <w:jc w:val="center"/>
      </w:pPr>
      <w:r>
        <w:rPr>
          <w:rFonts w:ascii="Garamond" w:cs="Garamond" w:eastAsia="Garamond" w:hAnsi="Garamond"/>
          <w:b w:val="false"/>
          <w:bCs w:val="false"/>
          <w:i w:val="false"/>
          <w:iCs w:val="false"/>
          <w:color w:val="C9A84C"/>
          <w:sz w:val="32"/>
          <w:szCs w:val="32"/>
        </w:rPr>
        <w:t xml:space="preserve">Constitution</w:t>
      </w:r>
    </w:p>
    <w:p>
      <w:pPr>
        <w:pBdr>
          <w:bottom w:val="single" w:color="C9A84C" w:sz="6" w:space="1"/>
        </w:pBdr>
        <w:spacing w:after="400" w:before="0"/>
        <w:jc w:val="center"/>
      </w:pPr>
      <w:r>
        <w:t xml:space="preserve"/>
      </w:r>
    </w:p>
    <w:p>
      <w:pPr>
        <w:spacing w:after="800" w:before="0"/>
        <w:jc w:val="center"/>
      </w:pPr>
      <w:r>
        <w:rPr>
          <w:rFonts w:ascii="Garamond" w:cs="Garamond" w:eastAsia="Garamond" w:hAnsi="Garamond"/>
          <w:b w:val="false"/>
          <w:bCs w:val="false"/>
          <w:i w:val="false"/>
          <w:iCs w:val="false"/>
          <w:color w:val="7a7060"/>
          <w:sz w:val="22"/>
          <w:szCs w:val="22"/>
        </w:rPr>
        <w:t xml:space="preserve">May 2026</w:t>
      </w:r>
    </w:p>
    <w:p>
      <w:pPr>
        <w:spacing w:after="200" w:before="0"/>
        <w:jc w:val="center"/>
      </w:pPr>
      <w:r>
        <w:rPr>
          <w:rFonts w:ascii="Courier New" w:cs="Courier New" w:eastAsia="Courier New" w:hAnsi="Courier New"/>
          <w:b w:val="false"/>
          <w:bCs w:val="false"/>
          <w:color w:val="7a7060"/>
          <w:sz w:val="18"/>
          <w:szCs w:val="18"/>
        </w:rPr>
        <w:t xml:space="preserve">thefederatedrepublic.org</w:t>
      </w:r>
    </w:p>
    <w:p>
      <w:pPr>
        <w:spacing w:after="0" w:before="0"/>
      </w:pPr>
      <w:r>
        <w:br/>
        <w:t xml:space="preserve"/>
      </w:r>
    </w:p>
    <w:p>
      <w:pPr>
        <w:spacing w:after="240" w:before="480"/>
      </w:pPr>
      <w:r>
        <w:rPr>
          <w:rFonts w:ascii="Garamond" w:cs="Garamond" w:eastAsia="Garamond" w:hAnsi="Garamond"/>
          <w:b/>
          <w:bCs/>
          <w:i w:val="false"/>
          <w:iCs w:val="false"/>
          <w:color w:val="1B2A4A"/>
          <w:sz w:val="32"/>
          <w:szCs w:val="32"/>
        </w:rPr>
        <w:t xml:space="preserve">Preamble</w:t>
      </w:r>
    </w:p>
    <w:p>
      <w:pPr>
        <w:spacing w:after="480" w:before="0"/>
        <w:jc w:val="both"/>
      </w:pPr>
      <w:r>
        <w:rPr>
          <w:rFonts w:ascii="Garamond" w:cs="Garamond" w:eastAsia="Garamond" w:hAnsi="Garamond"/>
          <w:b w:val="false"/>
          <w:bCs w:val="false"/>
          <w:i/>
          <w:iCs/>
          <w:color w:val="2a2520"/>
          <w:sz w:val="24"/>
          <w:szCs w:val="24"/>
        </w:rPr>
        <w:t xml:space="preserve">We, the people of the Federated Republic, recognizing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pPr>
        <w:spacing w:after="60" w:before="200"/>
        <w:jc w:val="left"/>
      </w:pPr>
      <w:r>
        <w:rPr>
          <w:rFonts w:ascii="Garamond" w:cs="Garamond" w:eastAsia="Garamond" w:hAnsi="Garamond"/>
          <w:b/>
          <w:bCs/>
          <w:i w:val="false"/>
          <w:iCs w:val="false"/>
          <w:color w:val="1B2A4A"/>
          <w:sz w:val="34"/>
          <w:szCs w:val="34"/>
        </w:rPr>
        <w:t xml:space="preserve">Article I — Individual Sovereignty and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  </w:t>
      </w:r>
      <w:r>
        <w:rPr>
          <w:rFonts w:ascii="Garamond" w:cs="Garamond" w:eastAsia="Garamond" w:hAnsi="Garamond"/>
          <w:b/>
          <w:bCs/>
          <w:i w:val="false"/>
          <w:iCs w:val="false"/>
          <w:color w:val="1B2A4A"/>
          <w:sz w:val="22"/>
          <w:szCs w:val="22"/>
        </w:rPr>
        <w:t xml:space="preserve">Right to Courts and Legal Remedy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pPr>
        <w:spacing w:after="60" w:before="200"/>
        <w:ind w:left="431"/>
        <w:jc w:val="left"/>
      </w:pPr>
      <w:r>
        <w:rPr>
          <w:rFonts w:ascii="Courier New" w:cs="Courier New" w:eastAsia="Courier New" w:hAnsi="Courier New"/>
          <w:b/>
          <w:bCs/>
          <w:color w:val="1B2A4A"/>
          <w:sz w:val="18"/>
          <w:szCs w:val="18"/>
        </w:rPr>
        <w:t xml:space="preserve">§1.2  </w:t>
      </w:r>
      <w:r>
        <w:rPr>
          <w:rFonts w:ascii="Garamond" w:cs="Garamond" w:eastAsia="Garamond" w:hAnsi="Garamond"/>
          <w:b/>
          <w:bCs/>
          <w:i w:val="false"/>
          <w:iCs w:val="false"/>
          <w:color w:val="1B2A4A"/>
          <w:sz w:val="22"/>
          <w:szCs w:val="22"/>
        </w:rPr>
        <w:t xml:space="preserve">Individual Sovereignty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pPr>
        <w:spacing w:after="60" w:before="200"/>
        <w:ind w:left="431"/>
        <w:jc w:val="left"/>
      </w:pPr>
      <w:r>
        <w:rPr>
          <w:rFonts w:ascii="Courier New" w:cs="Courier New" w:eastAsia="Courier New" w:hAnsi="Courier New"/>
          <w:b/>
          <w:bCs/>
          <w:color w:val="1B2A4A"/>
          <w:sz w:val="18"/>
          <w:szCs w:val="18"/>
        </w:rPr>
        <w:t xml:space="preserve">§1.3  </w:t>
      </w:r>
      <w:r>
        <w:rPr>
          <w:rFonts w:ascii="Garamond" w:cs="Garamond" w:eastAsia="Garamond" w:hAnsi="Garamond"/>
          <w:b/>
          <w:bCs/>
          <w:i w:val="false"/>
          <w:iCs w:val="false"/>
          <w:color w:val="1B2A4A"/>
          <w:sz w:val="22"/>
          <w:szCs w:val="22"/>
        </w:rPr>
        <w:t xml:space="preserve">Prohibition of Torture and Cruel Treatment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Torture and cruel, inhuman, or degrading treatment are absolutely prohibited. No person within the Republic's jurisdiction may be subjected to any such treatment. This right is non-derogable under §1.19.b.</w:t>
      </w:r>
    </w:p>
    <w:p>
      <w:pPr>
        <w:spacing w:after="60" w:before="200"/>
        <w:ind w:left="431"/>
        <w:jc w:val="left"/>
      </w:pPr>
      <w:r>
        <w:rPr>
          <w:rFonts w:ascii="Courier New" w:cs="Courier New" w:eastAsia="Courier New" w:hAnsi="Courier New"/>
          <w:b/>
          <w:bCs/>
          <w:color w:val="1B2A4A"/>
          <w:sz w:val="18"/>
          <w:szCs w:val="18"/>
        </w:rPr>
        <w:t xml:space="preserve">§1.4  </w:t>
      </w:r>
      <w:r>
        <w:rPr>
          <w:rFonts w:ascii="Garamond" w:cs="Garamond" w:eastAsia="Garamond" w:hAnsi="Garamond"/>
          <w:b/>
          <w:bCs/>
          <w:i w:val="false"/>
          <w:iCs w:val="false"/>
          <w:color w:val="1B2A4A"/>
          <w:sz w:val="22"/>
          <w:szCs w:val="22"/>
        </w:rPr>
        <w:t xml:space="preserve">Prohibition of Slavery and Forced Labor</w:t>
      </w:r>
    </w:p>
    <w:p>
      <w:pPr>
        <w:spacing w:after="120" w:before="0"/>
        <w:ind w:left="431"/>
        <w:jc w:val="both"/>
      </w:pPr>
      <w:r>
        <w:rPr>
          <w:rFonts w:ascii="Garamond" w:cs="Garamond" w:eastAsia="Garamond" w:hAnsi="Garamond"/>
          <w:b w:val="false"/>
          <w:bCs w:val="false"/>
          <w:i w:val="false"/>
          <w:iCs w:val="false"/>
          <w:color w:val="2a2520"/>
          <w:sz w:val="22"/>
          <w:szCs w:val="22"/>
        </w:rPr>
        <w:t xml:space="preserve">Slavery, involuntary servitude, and forced labor are absolutely prohibited. Lawfully imposed prison labor and compulsory military service under the terms established by statute do not constitute forced labor under this provision. This right is non-derogable under §1.19.b.</w:t>
      </w:r>
    </w:p>
    <w:p>
      <w:pPr>
        <w:spacing w:after="60" w:before="200"/>
        <w:ind w:left="431"/>
        <w:jc w:val="left"/>
      </w:pPr>
      <w:r>
        <w:rPr>
          <w:rFonts w:ascii="Courier New" w:cs="Courier New" w:eastAsia="Courier New" w:hAnsi="Courier New"/>
          <w:b/>
          <w:bCs/>
          <w:color w:val="1B2A4A"/>
          <w:sz w:val="18"/>
          <w:szCs w:val="18"/>
        </w:rPr>
        <w:t xml:space="preserve">§1.5  </w:t>
      </w:r>
      <w:r>
        <w:rPr>
          <w:rFonts w:ascii="Garamond" w:cs="Garamond" w:eastAsia="Garamond" w:hAnsi="Garamond"/>
          <w:b/>
          <w:bCs/>
          <w:i w:val="false"/>
          <w:iCs w:val="false"/>
          <w:color w:val="1B2A4A"/>
          <w:sz w:val="22"/>
          <w:szCs w:val="22"/>
        </w:rPr>
        <w:t xml:space="preserve">Civil and Political Liberties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pPr>
        <w:spacing w:after="60" w:before="200"/>
        <w:ind w:left="431"/>
        <w:jc w:val="left"/>
      </w:pPr>
      <w:r>
        <w:rPr>
          <w:rFonts w:ascii="Courier New" w:cs="Courier New" w:eastAsia="Courier New" w:hAnsi="Courier New"/>
          <w:b/>
          <w:bCs/>
          <w:color w:val="1B2A4A"/>
          <w:sz w:val="18"/>
          <w:szCs w:val="18"/>
        </w:rPr>
        <w:t xml:space="preserve">§1.6  </w:t>
      </w:r>
      <w:r>
        <w:rPr>
          <w:rFonts w:ascii="Garamond" w:cs="Garamond" w:eastAsia="Garamond" w:hAnsi="Garamond"/>
          <w:b/>
          <w:bCs/>
          <w:i w:val="false"/>
          <w:iCs w:val="false"/>
          <w:color w:val="1B2A4A"/>
          <w:sz w:val="22"/>
          <w:szCs w:val="22"/>
        </w:rPr>
        <w:t xml:space="preserve">Equality and Non-Discrimination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pPr>
        <w:spacing w:after="60" w:before="200"/>
        <w:ind w:left="431"/>
        <w:jc w:val="left"/>
      </w:pPr>
      <w:r>
        <w:rPr>
          <w:rFonts w:ascii="Courier New" w:cs="Courier New" w:eastAsia="Courier New" w:hAnsi="Courier New"/>
          <w:b/>
          <w:bCs/>
          <w:color w:val="1B2A4A"/>
          <w:sz w:val="18"/>
          <w:szCs w:val="18"/>
        </w:rPr>
        <w:t xml:space="preserve">§1.7  </w:t>
      </w:r>
      <w:r>
        <w:rPr>
          <w:rFonts w:ascii="Garamond" w:cs="Garamond" w:eastAsia="Garamond" w:hAnsi="Garamond"/>
          <w:b/>
          <w:bCs/>
          <w:i w:val="false"/>
          <w:iCs w:val="false"/>
          <w:color w:val="1B2A4A"/>
          <w:sz w:val="22"/>
          <w:szCs w:val="22"/>
        </w:rPr>
        <w:t xml:space="preserve">Bodily Sovereignty and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pPr>
        <w:spacing w:after="60" w:before="200"/>
        <w:ind w:left="431"/>
        <w:jc w:val="left"/>
      </w:pPr>
      <w:r>
        <w:rPr>
          <w:rFonts w:ascii="Courier New" w:cs="Courier New" w:eastAsia="Courier New" w:hAnsi="Courier New"/>
          <w:b/>
          <w:bCs/>
          <w:color w:val="1B2A4A"/>
          <w:sz w:val="18"/>
          <w:szCs w:val="18"/>
        </w:rPr>
        <w:t xml:space="preserve">§1.8  </w:t>
      </w:r>
      <w:r>
        <w:rPr>
          <w:rFonts w:ascii="Garamond" w:cs="Garamond" w:eastAsia="Garamond" w:hAnsi="Garamond"/>
          <w:b/>
          <w:bCs/>
          <w:i w:val="false"/>
          <w:iCs w:val="false"/>
          <w:color w:val="1B2A4A"/>
          <w:sz w:val="22"/>
          <w:szCs w:val="22"/>
        </w:rPr>
        <w:t xml:space="preserve">Property and Security of the Home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pPr>
        <w:spacing w:after="60" w:before="200"/>
        <w:ind w:left="431"/>
        <w:jc w:val="left"/>
      </w:pPr>
      <w:r>
        <w:rPr>
          <w:rFonts w:ascii="Courier New" w:cs="Courier New" w:eastAsia="Courier New" w:hAnsi="Courier New"/>
          <w:b/>
          <w:bCs/>
          <w:color w:val="1B2A4A"/>
          <w:sz w:val="18"/>
          <w:szCs w:val="18"/>
        </w:rPr>
        <w:t xml:space="preserve">§1.9  </w:t>
      </w:r>
      <w:r>
        <w:rPr>
          <w:rFonts w:ascii="Garamond" w:cs="Garamond" w:eastAsia="Garamond" w:hAnsi="Garamond"/>
          <w:b/>
          <w:bCs/>
          <w:i w:val="false"/>
          <w:iCs w:val="false"/>
          <w:color w:val="1B2A4A"/>
          <w:sz w:val="22"/>
          <w:szCs w:val="22"/>
        </w:rPr>
        <w:t xml:space="preserve">Democratic Participation and Family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pPr>
        <w:spacing w:after="60" w:before="200"/>
        <w:ind w:left="431"/>
        <w:jc w:val="left"/>
      </w:pPr>
      <w:r>
        <w:rPr>
          <w:rFonts w:ascii="Courier New" w:cs="Courier New" w:eastAsia="Courier New" w:hAnsi="Courier New"/>
          <w:b/>
          <w:bCs/>
          <w:color w:val="1B2A4A"/>
          <w:sz w:val="18"/>
          <w:szCs w:val="18"/>
        </w:rPr>
        <w:t xml:space="preserve">§1.10  </w:t>
      </w:r>
      <w:r>
        <w:rPr>
          <w:rFonts w:ascii="Garamond" w:cs="Garamond" w:eastAsia="Garamond" w:hAnsi="Garamond"/>
          <w:b/>
          <w:bCs/>
          <w:i w:val="false"/>
          <w:iCs w:val="false"/>
          <w:color w:val="1B2A4A"/>
          <w:sz w:val="22"/>
          <w:szCs w:val="22"/>
        </w:rPr>
        <w:t xml:space="preserve">Right to Bear Arms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Habeas Corpus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Rights of the Accused and Fair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Right to a Public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§1.14  </w:t>
      </w:r>
      <w:r>
        <w:rPr>
          <w:rFonts w:ascii="Garamond" w:cs="Garamond" w:eastAsia="Garamond" w:hAnsi="Garamond"/>
          <w:b/>
          <w:bCs/>
          <w:i w:val="false"/>
          <w:iCs w:val="false"/>
          <w:color w:val="1B2A4A"/>
          <w:sz w:val="22"/>
          <w:szCs w:val="22"/>
        </w:rPr>
        <w:t xml:space="preserve">Freedom from Retroactive Criminal Law</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§1.15  </w:t>
      </w:r>
      <w:r>
        <w:rPr>
          <w:rFonts w:ascii="Garamond" w:cs="Garamond" w:eastAsia="Garamond" w:hAnsi="Garamond"/>
          <w:b/>
          <w:bCs/>
          <w:i w:val="false"/>
          <w:iCs w:val="false"/>
          <w:color w:val="1B2A4A"/>
          <w:sz w:val="22"/>
          <w:szCs w:val="22"/>
        </w:rPr>
        <w:t xml:space="preserve">Double Jeopardy</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pPr>
        <w:spacing w:after="60" w:before="200"/>
        <w:ind w:left="431"/>
        <w:jc w:val="left"/>
      </w:pPr>
      <w:r>
        <w:rPr>
          <w:rFonts w:ascii="Courier New" w:cs="Courier New" w:eastAsia="Courier New" w:hAnsi="Courier New"/>
          <w:b/>
          <w:bCs/>
          <w:color w:val="1B2A4A"/>
          <w:sz w:val="18"/>
          <w:szCs w:val="18"/>
        </w:rPr>
        <w:t xml:space="preserve">§1.16  </w:t>
      </w:r>
      <w:r>
        <w:rPr>
          <w:rFonts w:ascii="Garamond" w:cs="Garamond" w:eastAsia="Garamond" w:hAnsi="Garamond"/>
          <w:b/>
          <w:bCs/>
          <w:i w:val="false"/>
          <w:iCs w:val="false"/>
          <w:color w:val="1B2A4A"/>
          <w:sz w:val="22"/>
          <w:szCs w:val="22"/>
        </w:rPr>
        <w:t xml:space="preserve">Social Assistance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1B2A4A"/>
          <w:sz w:val="18"/>
          <w:szCs w:val="18"/>
        </w:rPr>
        <w:t xml:space="preserve">§1.17  </w:t>
      </w:r>
      <w:r>
        <w:rPr>
          <w:rFonts w:ascii="Garamond" w:cs="Garamond" w:eastAsia="Garamond" w:hAnsi="Garamond"/>
          <w:b/>
          <w:bCs/>
          <w:i w:val="false"/>
          <w:iCs w:val="false"/>
          <w:color w:val="1B2A4A"/>
          <w:sz w:val="22"/>
          <w:szCs w:val="22"/>
        </w:rPr>
        <w:t xml:space="preserve">Education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1B2A4A"/>
          <w:sz w:val="18"/>
          <w:szCs w:val="18"/>
        </w:rPr>
        <w:t xml:space="preserve">§1.18  </w:t>
      </w:r>
      <w:r>
        <w:rPr>
          <w:rFonts w:ascii="Garamond" w:cs="Garamond" w:eastAsia="Garamond" w:hAnsi="Garamond"/>
          <w:b/>
          <w:bCs/>
          <w:i w:val="false"/>
          <w:iCs w:val="false"/>
          <w:color w:val="1B2A4A"/>
          <w:sz w:val="22"/>
          <w:szCs w:val="22"/>
        </w:rPr>
        <w:t xml:space="preserve">Environmental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pPr>
        <w:spacing w:after="60" w:before="200"/>
        <w:ind w:left="431"/>
        <w:jc w:val="left"/>
      </w:pPr>
      <w:r>
        <w:rPr>
          <w:rFonts w:ascii="Courier New" w:cs="Courier New" w:eastAsia="Courier New" w:hAnsi="Courier New"/>
          <w:b/>
          <w:bCs/>
          <w:color w:val="1B2A4A"/>
          <w:sz w:val="18"/>
          <w:szCs w:val="18"/>
        </w:rPr>
        <w:t xml:space="preserve">§1.19  </w:t>
      </w:r>
      <w:r>
        <w:rPr>
          <w:rFonts w:ascii="Garamond" w:cs="Garamond" w:eastAsia="Garamond" w:hAnsi="Garamond"/>
          <w:b/>
          <w:bCs/>
          <w:i w:val="false"/>
          <w:iCs w:val="false"/>
          <w:color w:val="1B2A4A"/>
          <w:sz w:val="22"/>
          <w:szCs w:val="22"/>
        </w:rPr>
        <w:t xml:space="preserve">Emergency Derogation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 however severe — suspends the Individual Sovereignty Floor in full. Temporary derogation of certain rights is permitted only under the strict conditions of this section; the rights enumerated in §1.19.b may not be derogated.</w:t>
      </w:r>
    </w:p>
    <w:p>
      <w:pPr>
        <w:spacing w:after="60" w:before="200"/>
        <w:ind w:left="431"/>
        <w:jc w:val="left"/>
      </w:pPr>
      <w:r>
        <w:rPr>
          <w:rFonts w:ascii="Courier New" w:cs="Courier New" w:eastAsia="Courier New" w:hAnsi="Courier New"/>
          <w:b/>
          <w:bCs/>
          <w:color w:val="1B2A4A"/>
          <w:sz w:val="18"/>
          <w:szCs w:val="18"/>
        </w:rPr>
        <w:t xml:space="preserve">§1.19.a  </w:t>
      </w:r>
      <w:r>
        <w:rPr>
          <w:rFonts w:ascii="Garamond" w:cs="Garamond" w:eastAsia="Garamond" w:hAnsi="Garamond"/>
          <w:b/>
          <w:bCs/>
          <w:i w:val="false"/>
          <w:iCs w:val="false"/>
          <w:color w:val="1B2A4A"/>
          <w:sz w:val="22"/>
          <w:szCs w:val="22"/>
        </w:rPr>
        <w:t xml:space="preserve">Emergency Derogation — Declaration Requirements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pPr>
        <w:spacing w:after="60" w:before="200"/>
        <w:ind w:left="431"/>
        <w:jc w:val="left"/>
      </w:pPr>
      <w:r>
        <w:rPr>
          <w:rFonts w:ascii="Courier New" w:cs="Courier New" w:eastAsia="Courier New" w:hAnsi="Courier New"/>
          <w:b/>
          <w:bCs/>
          <w:color w:val="1B2A4A"/>
          <w:sz w:val="18"/>
          <w:szCs w:val="18"/>
        </w:rPr>
        <w:t xml:space="preserve">§1.19.b  </w:t>
      </w:r>
      <w:r>
        <w:rPr>
          <w:rFonts w:ascii="Garamond" w:cs="Garamond" w:eastAsia="Garamond" w:hAnsi="Garamond"/>
          <w:b/>
          <w:bCs/>
          <w:i w:val="false"/>
          <w:iCs w:val="false"/>
          <w:color w:val="1B2A4A"/>
          <w:sz w:val="22"/>
          <w:szCs w:val="22"/>
        </w:rPr>
        <w:t xml:space="preserve">Non-Derogable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pPr>
        <w:spacing w:after="60" w:before="200"/>
        <w:ind w:left="431"/>
        <w:jc w:val="left"/>
      </w:pPr>
      <w:r>
        <w:rPr>
          <w:rFonts w:ascii="Courier New" w:cs="Courier New" w:eastAsia="Courier New" w:hAnsi="Courier New"/>
          <w:b/>
          <w:bCs/>
          <w:color w:val="1B2A4A"/>
          <w:sz w:val="18"/>
          <w:szCs w:val="18"/>
        </w:rPr>
        <w:t xml:space="preserve">§1.19.c  </w:t>
      </w:r>
      <w:r>
        <w:rPr>
          <w:rFonts w:ascii="Garamond" w:cs="Garamond" w:eastAsia="Garamond" w:hAnsi="Garamond"/>
          <w:b/>
          <w:bCs/>
          <w:i w:val="false"/>
          <w:iCs w:val="false"/>
          <w:color w:val="1B2A4A"/>
          <w:sz w:val="22"/>
          <w:szCs w:val="22"/>
        </w:rPr>
        <w:t xml:space="preserve">Monitor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Monitors continue to operate with full constitutional authority throughout any emergency — they cannot be suspended or have their mandate reduced by emergency declaration.</w:t>
      </w:r>
    </w:p>
    <w:p>
      <w:pPr>
        <w:spacing w:after="60" w:before="200"/>
        <w:ind w:left="431"/>
        <w:jc w:val="left"/>
      </w:pPr>
      <w:r>
        <w:rPr>
          <w:rFonts w:ascii="Courier New" w:cs="Courier New" w:eastAsia="Courier New" w:hAnsi="Courier New"/>
          <w:b/>
          <w:bCs/>
          <w:color w:val="1B2A4A"/>
          <w:sz w:val="18"/>
          <w:szCs w:val="18"/>
        </w:rPr>
        <w:t xml:space="preserve">§1.19.d  </w:t>
      </w:r>
      <w:r>
        <w:rPr>
          <w:rFonts w:ascii="Garamond" w:cs="Garamond" w:eastAsia="Garamond" w:hAnsi="Garamond"/>
          <w:b/>
          <w:bCs/>
          <w:i w:val="false"/>
          <w:iCs w:val="false"/>
          <w:color w:val="1B2A4A"/>
          <w:sz w:val="22"/>
          <w:szCs w:val="22"/>
        </w:rPr>
        <w:t xml:space="preserve">Automatic Expiry and Judicial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courts may rule during the emergency that a specific measure is unconstitutional.</w:t>
      </w:r>
    </w:p>
    <w:p>
      <w:pPr>
        <w:spacing w:after="60" w:before="200"/>
        <w:ind w:left="431"/>
        <w:jc w:val="left"/>
      </w:pPr>
      <w:r>
        <w:rPr>
          <w:rFonts w:ascii="Courier New" w:cs="Courier New" w:eastAsia="Courier New" w:hAnsi="Courier New"/>
          <w:b/>
          <w:bCs/>
          <w:color w:val="1B2A4A"/>
          <w:sz w:val="18"/>
          <w:szCs w:val="18"/>
        </w:rPr>
        <w:t xml:space="preserve">§1.19.e  </w:t>
      </w:r>
      <w:r>
        <w:rPr>
          <w:rFonts w:ascii="Garamond" w:cs="Garamond" w:eastAsia="Garamond" w:hAnsi="Garamond"/>
          <w:b/>
          <w:bCs/>
          <w:i w:val="false"/>
          <w:iCs w:val="false"/>
          <w:color w:val="1B2A4A"/>
          <w:sz w:val="22"/>
          <w:szCs w:val="22"/>
        </w:rPr>
        <w:t xml:space="preserve">No Permanent Emergency</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pPr>
        <w:spacing w:after="60" w:before="200"/>
        <w:ind w:left="431"/>
        <w:jc w:val="left"/>
      </w:pPr>
      <w:r>
        <w:rPr>
          <w:rFonts w:ascii="Courier New" w:cs="Courier New" w:eastAsia="Courier New" w:hAnsi="Courier New"/>
          <w:b/>
          <w:bCs/>
          <w:color w:val="1B2A4A"/>
          <w:sz w:val="18"/>
          <w:szCs w:val="18"/>
        </w:rPr>
        <w:t xml:space="preserve">§1.20  </w:t>
      </w:r>
      <w:r>
        <w:rPr>
          <w:rFonts w:ascii="Garamond" w:cs="Garamond" w:eastAsia="Garamond" w:hAnsi="Garamond"/>
          <w:b/>
          <w:bCs/>
          <w:i w:val="false"/>
          <w:iCs w:val="false"/>
          <w:color w:val="1B2A4A"/>
          <w:sz w:val="22"/>
          <w:szCs w:val="22"/>
        </w:rPr>
        <w:t xml:space="preserve">Right to Seek Asylum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Non-Refoulement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w:t>
      </w:r>
    </w:p>
    <w:p>
      <w:pPr>
        <w:spacing w:after="60" w:before="200"/>
        <w:jc w:val="left"/>
      </w:pPr>
      <w:r>
        <w:rPr>
          <w:rFonts w:ascii="Garamond" w:cs="Garamond" w:eastAsia="Garamond" w:hAnsi="Garamond"/>
          <w:b/>
          <w:bCs/>
          <w:i w:val="false"/>
          <w:iCs w:val="false"/>
          <w:color w:val="1B2A4A"/>
          <w:sz w:val="34"/>
          <w:szCs w:val="34"/>
        </w:rPr>
        <w:t xml:space="preserve">Article II — The Dual Executive</w:t>
      </w:r>
    </w:p>
    <w:p>
      <w:pPr>
        <w:spacing w:after="60" w:before="200"/>
        <w:ind w:left="431"/>
        <w:jc w:val="left"/>
      </w:pPr>
      <w:r>
        <w:rPr>
          <w:rFonts w:ascii="Courier New" w:cs="Courier New" w:eastAsia="Courier New" w:hAnsi="Courier New"/>
          <w:b/>
          <w:bCs/>
          <w:color w:val="1B2A4A"/>
          <w:sz w:val="18"/>
          <w:szCs w:val="18"/>
        </w:rPr>
        <w:t xml:space="preserve">§2.1  </w:t>
      </w:r>
      <w:r>
        <w:rPr>
          <w:rFonts w:ascii="Garamond" w:cs="Garamond" w:eastAsia="Garamond" w:hAnsi="Garamond"/>
          <w:b/>
          <w:bCs/>
          <w:i w:val="false"/>
          <w:iCs w:val="false"/>
          <w:color w:val="1B2A4A"/>
          <w:sz w:val="22"/>
          <w:szCs w:val="22"/>
        </w:rPr>
        <w:t xml:space="preserve">The Legat Consul — Domain and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compact relationships with recognized indigenous nations under Article XVI;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pending SC determination. During active military operations, the Legat Consul's domain governs operational decisions; either executive may petition the SC for an expedited domain determination.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pPr>
        <w:spacing w:after="60" w:before="200"/>
        <w:ind w:left="431"/>
        <w:jc w:val="left"/>
      </w:pPr>
      <w:r>
        <w:rPr>
          <w:rFonts w:ascii="Courier New" w:cs="Courier New" w:eastAsia="Courier New" w:hAnsi="Courier New"/>
          <w:b/>
          <w:bCs/>
          <w:color w:val="1B2A4A"/>
          <w:sz w:val="18"/>
          <w:szCs w:val="18"/>
        </w:rPr>
        <w:t xml:space="preserve">§2.2  </w:t>
      </w:r>
      <w:r>
        <w:rPr>
          <w:rFonts w:ascii="Garamond" w:cs="Garamond" w:eastAsia="Garamond" w:hAnsi="Garamond"/>
          <w:b/>
          <w:bCs/>
          <w:i w:val="false"/>
          <w:iCs w:val="false"/>
          <w:color w:val="1B2A4A"/>
          <w:sz w:val="22"/>
          <w:szCs w:val="22"/>
        </w:rPr>
        <w:t xml:space="preserve">Military Authorization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requires Civic Consul certification throughout; expenditure without Civic Consul certification is void. All military operations must state and be consistent with an authorized purpose under §14.1.</w:t>
      </w:r>
    </w:p>
    <w:p>
      <w:pPr>
        <w:spacing w:after="60" w:before="200"/>
        <w:ind w:left="431"/>
        <w:jc w:val="left"/>
      </w:pPr>
      <w:r>
        <w:rPr>
          <w:rFonts w:ascii="Courier New" w:cs="Courier New" w:eastAsia="Courier New" w:hAnsi="Courier New"/>
          <w:b/>
          <w:bCs/>
          <w:color w:val="1B2A4A"/>
          <w:sz w:val="18"/>
          <w:szCs w:val="18"/>
        </w:rPr>
        <w:t xml:space="preserve">§2.3  </w:t>
      </w:r>
      <w:r>
        <w:rPr>
          <w:rFonts w:ascii="Garamond" w:cs="Garamond" w:eastAsia="Garamond" w:hAnsi="Garamond"/>
          <w:b/>
          <w:bCs/>
          <w:i w:val="false"/>
          <w:iCs w:val="false"/>
          <w:color w:val="1B2A4A"/>
          <w:sz w:val="22"/>
          <w:szCs w:val="22"/>
        </w:rPr>
        <w:t xml:space="preserve">Consular Intelligence and Veto</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directs foreign intelligence. No intelligence operation may be conducted against Republic citizens within Republic territory on the Legat Consul's authority; such operations require independent judicial authorization. The Legat Consul may veto legislation that raises a genuine constitutional concern within the Legat Consul's domain — military operations, intelligence, treaty obligations, or border security. A general or speculative security connection is insufficient. Either Speaker may petition the SC for an expedited domain determination of any disputed veto; the SC must rule within 7 days of such petition. Under §9.1, either Speaker may request an EM assessment of the domain question, which the SC may consider as expert evidence. Where the SC confirms the veto falls outside the Legat Consul's defined domain, the veto is void and the bill proceeds to ordinary enactment without Legat Consul assent. Where the SC confirms the veto is within domain, the ordinary 2/3 override threshold applies.</w:t>
      </w:r>
    </w:p>
    <w:p>
      <w:pPr>
        <w:spacing w:after="60" w:before="200"/>
        <w:ind w:left="431"/>
        <w:jc w:val="left"/>
      </w:pPr>
      <w:r>
        <w:rPr>
          <w:rFonts w:ascii="Courier New" w:cs="Courier New" w:eastAsia="Courier New" w:hAnsi="Courier New"/>
          <w:b/>
          <w:bCs/>
          <w:color w:val="1B2A4A"/>
          <w:sz w:val="18"/>
          <w:szCs w:val="18"/>
        </w:rPr>
        <w:t xml:space="preserve">§2.4  </w:t>
      </w:r>
      <w:r>
        <w:rPr>
          <w:rFonts w:ascii="Garamond" w:cs="Garamond" w:eastAsia="Garamond" w:hAnsi="Garamond"/>
          <w:b/>
          <w:bCs/>
          <w:i w:val="false"/>
          <w:iCs w:val="false"/>
          <w:color w:val="1B2A4A"/>
          <w:sz w:val="22"/>
          <w:szCs w:val="22"/>
        </w:rPr>
        <w:t xml:space="preserve">Consular Domain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negotiates and concludes trade agreements. Civic Consul written concurrence is required only for provisions imposing national treatment obligations within Republic territory, provisions requiring new domestic legislation, or provisions creating direct obligations on domestic persons. All other trade terms are within the Legat Consul's sole authority. The Civic Consul must respond to any request for concurrence within the period defined by statute; where no statutory period has been established, the constitutional default is 30 days. Where the Civic Consul does not respond within the applicable period, concurrence is deemed given for provisions that do not require new domestic legislation; silence on provisions that require new domestic legislation is deemed withheld. Where Civic Consul concurrence is withheld on a specific provision, that provision may be transmitted to the Assembly as ordinary legislation while the remaining agreement proceeds to Senate ratification independently. The Legat Consul nominates senior domain officers — Director of Intelligence, Director of Foreign Affairs, Director of Defense — from a pool of qualified candidates maintained by the Elections Panel under §9.12. The Legislature defines qualifications and confirmation procedures for each office by statute; Acting appointments may be made pending confirmation for the period and under the conditions the Legislature defines. Indefinite circumvention of Senate confirmation through Acting appointments is constitutionally prohibited. Where the executives dispute whether a provision requires new domestic legislation for purposes of the concurrence default, either executive may refer the classification question to the SC for expedited determination within the concurrence period.</w:t>
      </w:r>
    </w:p>
    <w:p>
      <w:pPr>
        <w:spacing w:after="60" w:before="200"/>
        <w:ind w:left="431"/>
        <w:jc w:val="left"/>
      </w:pPr>
      <w:r>
        <w:rPr>
          <w:rFonts w:ascii="Courier New" w:cs="Courier New" w:eastAsia="Courier New" w:hAnsi="Courier New"/>
          <w:b/>
          <w:bCs/>
          <w:color w:val="1B2A4A"/>
          <w:sz w:val="18"/>
          <w:szCs w:val="18"/>
        </w:rPr>
        <w:t xml:space="preserve">§2.5  </w:t>
      </w:r>
      <w:r>
        <w:rPr>
          <w:rFonts w:ascii="Garamond" w:cs="Garamond" w:eastAsia="Garamond" w:hAnsi="Garamond"/>
          <w:b/>
          <w:bCs/>
          <w:i w:val="false"/>
          <w:iCs w:val="false"/>
          <w:color w:val="1B2A4A"/>
          <w:sz w:val="22"/>
          <w:szCs w:val="22"/>
        </w:rPr>
        <w:t xml:space="preserve">The Civic Consul — Domain and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serves at the confidence of the Assembly, subject to removal under §2.6. No person may serve more than 8 years in total as Civic Consul across all periods of service; this limit is cumulative and permanent regardless of interruption. The Civic Consul's domestic authority includes: all domestic policy and regulatory frameworks; the annual budget, which must originate with the Civic Consul and pass the Assembly; certification of military expenditure;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compact negotiations under Article XVI and on trade agreement provisions creating direct domestic fiscal obligations; the Civic Consul’s response is advisory and does not constitute a concurrence requirement.</w:t>
      </w:r>
    </w:p>
    <w:p>
      <w:pPr>
        <w:spacing w:after="60" w:before="200"/>
        <w:ind w:left="431"/>
        <w:jc w:val="left"/>
      </w:pPr>
      <w:r>
        <w:rPr>
          <w:rFonts w:ascii="Courier New" w:cs="Courier New" w:eastAsia="Courier New" w:hAnsi="Courier New"/>
          <w:b/>
          <w:bCs/>
          <w:color w:val="1B2A4A"/>
          <w:sz w:val="18"/>
          <w:szCs w:val="18"/>
        </w:rPr>
        <w:t xml:space="preserve">§2.6  </w:t>
      </w:r>
      <w:r>
        <w:rPr>
          <w:rFonts w:ascii="Garamond" w:cs="Garamond" w:eastAsia="Garamond" w:hAnsi="Garamond"/>
          <w:b/>
          <w:bCs/>
          <w:i w:val="false"/>
          <w:iCs w:val="false"/>
          <w:color w:val="1B2A4A"/>
          <w:sz w:val="22"/>
          <w:szCs w:val="22"/>
        </w:rPr>
        <w:t xml:space="preserve">Constructive Vote of No Confidence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w:t>
      </w:r>
    </w:p>
    <w:p>
      <w:pPr>
        <w:spacing w:after="60" w:before="200"/>
        <w:ind w:left="431"/>
        <w:jc w:val="left"/>
      </w:pPr>
      <w:r>
        <w:rPr>
          <w:rFonts w:ascii="Courier New" w:cs="Courier New" w:eastAsia="Courier New" w:hAnsi="Courier New"/>
          <w:b/>
          <w:bCs/>
          <w:color w:val="1B2A4A"/>
          <w:sz w:val="18"/>
          <w:szCs w:val="18"/>
        </w:rPr>
        <w:t xml:space="preserve">§2.6.a  </w:t>
      </w:r>
      <w:r>
        <w:rPr>
          <w:rFonts w:ascii="Garamond" w:cs="Garamond" w:eastAsia="Garamond" w:hAnsi="Garamond"/>
          <w:b/>
          <w:bCs/>
          <w:i w:val="false"/>
          <w:iCs w:val="false"/>
          <w:color w:val="1B2A4A"/>
          <w:sz w:val="22"/>
          <w:szCs w:val="22"/>
        </w:rPr>
        <w:t xml:space="preserve">Government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designation falls to a serving Assembly member. The designation is published to the NRS.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Elections Panel administers a public dissolution referendum; a simple majority decides. If the Assembly elects a Civic Consul before the dissolution vote is certified, the referendum concludes without effect. Where the dissolution vote passes, a new Assembly general election follows; the Acting mechanism continues until the new Assembly elects a Civic Consul.</w:t>
      </w:r>
    </w:p>
    <w:p>
      <w:pPr>
        <w:spacing w:after="60" w:before="200"/>
        <w:ind w:left="431"/>
        <w:jc w:val="left"/>
      </w:pPr>
      <w:r>
        <w:rPr>
          <w:rFonts w:ascii="Courier New" w:cs="Courier New" w:eastAsia="Courier New" w:hAnsi="Courier New"/>
          <w:b/>
          <w:bCs/>
          <w:color w:val="1B2A4A"/>
          <w:sz w:val="18"/>
          <w:szCs w:val="18"/>
        </w:rPr>
        <w:t xml:space="preserve">§2.6.b  </w:t>
      </w:r>
      <w:r>
        <w:rPr>
          <w:rFonts w:ascii="Garamond" w:cs="Garamond" w:eastAsia="Garamond" w:hAnsi="Garamond"/>
          <w:b/>
          <w:bCs/>
          <w:i w:val="false"/>
          <w:iCs w:val="false"/>
          <w:color w:val="1B2A4A"/>
          <w:sz w:val="22"/>
          <w:szCs w:val="22"/>
        </w:rPr>
        <w:t xml:space="preserve">Temporary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Civic Consul is temporarily unable to exercise authority, the Civic Consul’s designated Acting Civic Consul serves with authority limited to maintaining existing policy and emergency functions. Acting status ends when the Civic Consul resumes their duties or a new Civic Consul is confirmed by the Assembly.</w:t>
      </w:r>
    </w:p>
    <w:p>
      <w:pPr>
        <w:spacing w:after="60" w:before="200"/>
        <w:ind w:left="431"/>
        <w:jc w:val="left"/>
      </w:pPr>
      <w:r>
        <w:rPr>
          <w:rFonts w:ascii="Courier New" w:cs="Courier New" w:eastAsia="Courier New" w:hAnsi="Courier New"/>
          <w:b/>
          <w:bCs/>
          <w:color w:val="1B2A4A"/>
          <w:sz w:val="18"/>
          <w:szCs w:val="18"/>
        </w:rPr>
        <w:t xml:space="preserve">§2.7  </w:t>
      </w:r>
      <w:r>
        <w:rPr>
          <w:rFonts w:ascii="Garamond" w:cs="Garamond" w:eastAsia="Garamond" w:hAnsi="Garamond"/>
          <w:b/>
          <w:bCs/>
          <w:i w:val="false"/>
          <w:iCs w:val="false"/>
          <w:color w:val="1B2A4A"/>
          <w:sz w:val="22"/>
          <w:szCs w:val="22"/>
        </w:rPr>
        <w:t xml:space="preserve">Civic Consul Legislative Instruments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Civic Consul withholds assent from a bill passed by both chambers, the Civic Consul exercises a suspensive veto by returning the bill to the Legislature within the period defined by statute with a written statement of objection specifying constitutional, fiscal, or operational grounds, published to the NRS. The bill is suspended from taking effect during the return and reconsideration period. The Legislature may override the suspensive veto by 2/3 of both chambers in a concurrent vote; a successfully overridden bill takes effect without Civic Consul assent. Where the Legislature does not hold an override vote within the period defined by statute, the bill lapses for that session and may be reintroduced in the next. The suspensive veto may not be used on the annual budget, bills implementing a constitutional obligation, or emergency legislation. The Civic Consul may also object on specific solvency grounds — the bill would cause or materially worsen a structural deficit. The Assembly may override a solvency objection by simple majority. If the Civic Consul neither signs nor objects within the legislative review period, the bill is enacted. Silence is not a veto. Both executives review legislation concurrently from the date of final passage; periods and procedures are defined by statute.</w:t>
      </w:r>
    </w:p>
    <w:p>
      <w:pPr>
        <w:spacing w:after="60" w:before="200"/>
        <w:ind w:left="431"/>
        <w:jc w:val="left"/>
      </w:pPr>
      <w:r>
        <w:rPr>
          <w:rFonts w:ascii="Courier New" w:cs="Courier New" w:eastAsia="Courier New" w:hAnsi="Courier New"/>
          <w:b/>
          <w:bCs/>
          <w:color w:val="1B2A4A"/>
          <w:sz w:val="18"/>
          <w:szCs w:val="18"/>
        </w:rPr>
        <w:t xml:space="preserve">§2.8  </w:t>
      </w:r>
      <w:r>
        <w:rPr>
          <w:rFonts w:ascii="Garamond" w:cs="Garamond" w:eastAsia="Garamond" w:hAnsi="Garamond"/>
          <w:b/>
          <w:bCs/>
          <w:i w:val="false"/>
          <w:iCs w:val="false"/>
          <w:color w:val="1B2A4A"/>
          <w:sz w:val="22"/>
          <w:szCs w:val="22"/>
        </w:rPr>
        <w:t xml:space="preserve">Duty of Refusal</w:t>
      </w:r>
    </w:p>
    <w:p>
      <w:pPr>
        <w:spacing w:after="120" w:before="0"/>
        <w:ind w:left="431"/>
        <w:jc w:val="both"/>
      </w:pPr>
      <w:r>
        <w:rPr>
          <w:rFonts w:ascii="Garamond" w:cs="Garamond" w:eastAsia="Garamond" w:hAnsi="Garamond"/>
          <w:b w:val="false"/>
          <w:bCs w:val="false"/>
          <w:i w:val="false"/>
          <w:iCs w:val="false"/>
          <w:color w:val="2a2520"/>
          <w:sz w:val="22"/>
          <w:szCs w:val="22"/>
        </w:rPr>
        <w:t xml:space="preserve">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pPr>
        <w:spacing w:after="60" w:before="200"/>
        <w:ind w:left="431"/>
        <w:jc w:val="left"/>
      </w:pPr>
      <w:r>
        <w:rPr>
          <w:rFonts w:ascii="Courier New" w:cs="Courier New" w:eastAsia="Courier New" w:hAnsi="Courier New"/>
          <w:b/>
          <w:bCs/>
          <w:color w:val="1B2A4A"/>
          <w:sz w:val="18"/>
          <w:szCs w:val="18"/>
        </w:rPr>
        <w:t xml:space="preserve">§2.9  </w:t>
      </w:r>
      <w:r>
        <w:rPr>
          <w:rFonts w:ascii="Garamond" w:cs="Garamond" w:eastAsia="Garamond" w:hAnsi="Garamond"/>
          <w:b/>
          <w:bCs/>
          <w:i w:val="false"/>
          <w:iCs w:val="false"/>
          <w:color w:val="1B2A4A"/>
          <w:sz w:val="22"/>
          <w:szCs w:val="22"/>
        </w:rPr>
        <w:t xml:space="preserve">Legat Consul Succession and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without vacating the Speaker's Senate seat by constitutional operation from that moment. Acting authority ends when the Legat Consul publishes a restoration declaration to the NRS.</w:t>
      </w:r>
    </w:p>
    <w:p>
      <w:pPr>
        <w:spacing w:after="60" w:before="200"/>
        <w:ind w:left="431"/>
        <w:jc w:val="left"/>
      </w:pPr>
      <w:r>
        <w:rPr>
          <w:rFonts w:ascii="Courier New" w:cs="Courier New" w:eastAsia="Courier New" w:hAnsi="Courier New"/>
          <w:b/>
          <w:bCs/>
          <w:color w:val="1B2A4A"/>
          <w:sz w:val="18"/>
          <w:szCs w:val="18"/>
        </w:rPr>
        <w:t xml:space="preserve">§2.10  </w:t>
      </w:r>
      <w:r>
        <w:rPr>
          <w:rFonts w:ascii="Garamond" w:cs="Garamond" w:eastAsia="Garamond" w:hAnsi="Garamond"/>
          <w:b/>
          <w:bCs/>
          <w:i w:val="false"/>
          <w:iCs w:val="false"/>
          <w:color w:val="1B2A4A"/>
          <w:sz w:val="22"/>
          <w:szCs w:val="22"/>
        </w:rPr>
        <w:t xml:space="preserve">Executive Transparency</w:t>
      </w:r>
    </w:p>
    <w:p>
      <w:pPr>
        <w:spacing w:after="120" w:before="0"/>
        <w:ind w:left="431"/>
        <w:jc w:val="both"/>
      </w:pPr>
      <w:r>
        <w:rPr>
          <w:rFonts w:ascii="Garamond" w:cs="Garamond" w:eastAsia="Garamond" w:hAnsi="Garamond"/>
          <w:b w:val="false"/>
          <w:bCs w:val="false"/>
          <w:i w:val="false"/>
          <w:iCs w:val="false"/>
          <w:color w:val="2a2520"/>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pPr>
        <w:spacing w:after="60" w:before="200"/>
        <w:ind w:left="431"/>
        <w:jc w:val="left"/>
      </w:pPr>
      <w:r>
        <w:rPr>
          <w:rFonts w:ascii="Courier New" w:cs="Courier New" w:eastAsia="Courier New" w:hAnsi="Courier New"/>
          <w:b/>
          <w:bCs/>
          <w:color w:val="1B2A4A"/>
          <w:sz w:val="18"/>
          <w:szCs w:val="18"/>
        </w:rPr>
        <w:t xml:space="preserve">§2.11  </w:t>
      </w:r>
      <w:r>
        <w:rPr>
          <w:rFonts w:ascii="Garamond" w:cs="Garamond" w:eastAsia="Garamond" w:hAnsi="Garamond"/>
          <w:b/>
          <w:bCs/>
          <w:i w:val="false"/>
          <w:iCs w:val="false"/>
          <w:color w:val="1B2A4A"/>
          <w:sz w:val="22"/>
          <w:szCs w:val="22"/>
        </w:rPr>
        <w:t xml:space="preserve">Emergency Governance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pPr>
        <w:spacing w:after="60" w:before="200"/>
        <w:ind w:left="431"/>
        <w:jc w:val="left"/>
      </w:pPr>
      <w:r>
        <w:rPr>
          <w:rFonts w:ascii="Courier New" w:cs="Courier New" w:eastAsia="Courier New" w:hAnsi="Courier New"/>
          <w:b/>
          <w:bCs/>
          <w:color w:val="1B2A4A"/>
          <w:sz w:val="18"/>
          <w:szCs w:val="18"/>
        </w:rPr>
        <w:t xml:space="preserve">§2.12  </w:t>
      </w:r>
      <w:r>
        <w:rPr>
          <w:rFonts w:ascii="Garamond" w:cs="Garamond" w:eastAsia="Garamond" w:hAnsi="Garamond"/>
          <w:b/>
          <w:bCs/>
          <w:i w:val="false"/>
          <w:iCs w:val="false"/>
          <w:color w:val="1B2A4A"/>
          <w:sz w:val="22"/>
          <w:szCs w:val="22"/>
        </w:rPr>
        <w:t xml:space="preserve">Clemency</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pPr>
        <w:spacing w:after="60" w:before="200"/>
        <w:ind w:left="431"/>
        <w:jc w:val="left"/>
      </w:pPr>
      <w:r>
        <w:rPr>
          <w:rFonts w:ascii="Courier New" w:cs="Courier New" w:eastAsia="Courier New" w:hAnsi="Courier New"/>
          <w:b/>
          <w:bCs/>
          <w:color w:val="1B2A4A"/>
          <w:sz w:val="18"/>
          <w:szCs w:val="18"/>
        </w:rPr>
        <w:t xml:space="preserve">§2.13  </w:t>
      </w:r>
      <w:r>
        <w:rPr>
          <w:rFonts w:ascii="Garamond" w:cs="Garamond" w:eastAsia="Garamond" w:hAnsi="Garamond"/>
          <w:b/>
          <w:bCs/>
          <w:i w:val="false"/>
          <w:iCs w:val="false"/>
          <w:color w:val="1B2A4A"/>
          <w:sz w:val="22"/>
          <w:szCs w:val="22"/>
        </w:rPr>
        <w:t xml:space="preserve">Consular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§13.4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pPr>
        <w:spacing w:after="60" w:before="200"/>
        <w:ind w:left="431"/>
        <w:jc w:val="left"/>
      </w:pPr>
      <w:r>
        <w:rPr>
          <w:rFonts w:ascii="Courier New" w:cs="Courier New" w:eastAsia="Courier New" w:hAnsi="Courier New"/>
          <w:b/>
          <w:bCs/>
          <w:color w:val="1B2A4A"/>
          <w:sz w:val="18"/>
          <w:szCs w:val="18"/>
        </w:rPr>
        <w:t xml:space="preserve">§2.14  </w:t>
      </w:r>
      <w:r>
        <w:rPr>
          <w:rFonts w:ascii="Garamond" w:cs="Garamond" w:eastAsia="Garamond" w:hAnsi="Garamond"/>
          <w:b/>
          <w:bCs/>
          <w:i w:val="false"/>
          <w:iCs w:val="false"/>
          <w:color w:val="1B2A4A"/>
          <w:sz w:val="22"/>
          <w:szCs w:val="22"/>
        </w:rPr>
        <w:t xml:space="preserve">Council of Ministers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 In a cross-domain emergency — a crisis whose effective management requires unified operational authority across executive domains — either executive may propose a temporary operational lead designation to the Council of Ministers; the other executive must respond in writing within twelve hours; failure to respond within twelve hours is treated as an objection for the purposes of this provision; concurrence makes the designation effective and it is published to the NRS immediately with both executives' attributed positions; objection or non-response refers the dispute to the SC under §2.15 for expedited review. A temporary lead designation does not extinguish the other executive's domain authorities or certification functions — it assigns operational coordination, not constitutional supremacy. Either executive may petition the SC directly for emergency resolution of a coordination failure; the SC must rule within the period defined by statute, not to exceed 48 hours. Judicial review of any lead designation is conducted after the emergency is stabilized, not during it; courts do not govern active crisis management. Judicial review of any lead designation must be initiated within 90 days of the lead designation taking effect regardless of whether the emergency is characterized as ongoing; the SC holds expedited jurisdiction over such review.</w:t>
      </w:r>
    </w:p>
    <w:p>
      <w:pPr>
        <w:spacing w:after="60" w:before="200"/>
        <w:ind w:left="431"/>
        <w:jc w:val="left"/>
      </w:pPr>
      <w:r>
        <w:rPr>
          <w:rFonts w:ascii="Courier New" w:cs="Courier New" w:eastAsia="Courier New" w:hAnsi="Courier New"/>
          <w:b/>
          <w:bCs/>
          <w:color w:val="1B2A4A"/>
          <w:sz w:val="18"/>
          <w:szCs w:val="18"/>
        </w:rPr>
        <w:t xml:space="preserve">§2.14.a  </w:t>
      </w:r>
      <w:r>
        <w:rPr>
          <w:rFonts w:ascii="Garamond" w:cs="Garamond" w:eastAsia="Garamond" w:hAnsi="Garamond"/>
          <w:b/>
          <w:bCs/>
          <w:i w:val="false"/>
          <w:iCs w:val="false"/>
          <w:color w:val="1B2A4A"/>
          <w:sz w:val="22"/>
          <w:szCs w:val="22"/>
        </w:rPr>
        <w:t xml:space="preserve">Cross-Domain Emergency Lead</w:t>
      </w:r>
    </w:p>
    <w:p>
      <w:pPr>
        <w:spacing w:after="120" w:before="0"/>
        <w:ind w:left="431"/>
        <w:jc w:val="both"/>
      </w:pPr>
      <w:r>
        <w:rPr>
          <w:rFonts w:ascii="Garamond" w:cs="Garamond" w:eastAsia="Garamond" w:hAnsi="Garamond"/>
          <w:b w:val="false"/>
          <w:bCs w:val="false"/>
          <w:i w:val="false"/>
          <w:iCs w:val="false"/>
          <w:color w:val="2a2520"/>
          <w:sz w:val="22"/>
          <w:szCs w:val="22"/>
        </w:rPr>
        <w:t xml:space="preserve">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pPr>
        <w:spacing w:after="60" w:before="200"/>
        <w:ind w:left="431"/>
        <w:jc w:val="left"/>
      </w:pPr>
      <w:r>
        <w:rPr>
          <w:rFonts w:ascii="Courier New" w:cs="Courier New" w:eastAsia="Courier New" w:hAnsi="Courier New"/>
          <w:b/>
          <w:bCs/>
          <w:color w:val="1B2A4A"/>
          <w:sz w:val="18"/>
          <w:szCs w:val="18"/>
        </w:rPr>
        <w:t xml:space="preserve">§2.14.b  </w:t>
      </w:r>
      <w:r>
        <w:rPr>
          <w:rFonts w:ascii="Garamond" w:cs="Garamond" w:eastAsia="Garamond" w:hAnsi="Garamond"/>
          <w:b/>
          <w:bCs/>
          <w:i w:val="false"/>
          <w:iCs w:val="false"/>
          <w:color w:val="1B2A4A"/>
          <w:sz w:val="22"/>
          <w:szCs w:val="22"/>
        </w:rPr>
        <w:t xml:space="preserve">Coordination Failure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both executives are acting within their domains but their actions are materially incompatible, either may declare a coordination failure by NRS notice. The Legislature may resolve the deadlock by concurrent resolution. Where the Legislature does not act within 30 days, the Legat Consul retains full authority within the Legat domain and the Civic Consul’s executive authority governs the cross-domain interaction pending resolution; this applies to how the domains interact, not to the substance of either domain.</w:t>
      </w:r>
    </w:p>
    <w:p>
      <w:pPr>
        <w:spacing w:after="60" w:before="200"/>
        <w:ind w:left="431"/>
        <w:jc w:val="left"/>
      </w:pPr>
      <w:r>
        <w:rPr>
          <w:rFonts w:ascii="Courier New" w:cs="Courier New" w:eastAsia="Courier New" w:hAnsi="Courier New"/>
          <w:b/>
          <w:bCs/>
          <w:color w:val="1B2A4A"/>
          <w:sz w:val="18"/>
          <w:szCs w:val="18"/>
        </w:rPr>
        <w:t xml:space="preserve">§2.15  </w:t>
      </w:r>
      <w:r>
        <w:rPr>
          <w:rFonts w:ascii="Garamond" w:cs="Garamond" w:eastAsia="Garamond" w:hAnsi="Garamond"/>
          <w:b/>
          <w:bCs/>
          <w:i w:val="false"/>
          <w:iCs w:val="false"/>
          <w:color w:val="1B2A4A"/>
          <w:sz w:val="22"/>
          <w:szCs w:val="22"/>
        </w:rPr>
        <w:t xml:space="preserve">Constitutional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w:t>
      </w:r>
    </w:p>
    <w:p>
      <w:pPr>
        <w:spacing w:after="80" w:before="200"/>
        <w:ind w:left="431"/>
      </w:pPr>
      <w:r>
        <w:rPr>
          <w:rFonts w:ascii="Courier New" w:cs="Courier New" w:hAnsi="Courier New"/>
          <w:b/>
          <w:bCs/>
          <w:color w:val="1B2A4A"/>
          <w:sz w:val="18"/>
          <w:szCs w:val="18"/>
        </w:rPr>
        <w:t xml:space="preserve">§2.16  </w:t>
      </w:r>
      <w:r>
        <w:rPr>
          <w:rFonts w:ascii="Garamond" w:cs="Garamond" w:hAnsi="Garamond"/>
          <w:b/>
          <w:bCs/>
          <w:color w:val="1B2A4A"/>
          <w:sz w:val="22"/>
          <w:szCs w:val="22"/>
        </w:rPr>
        <w:t xml:space="preserve">Federal Prosecution</w:t>
      </w:r>
    </w:p>
    <w:p>
      <w:pPr>
        <w:spacing w:after="120" w:before="0"/>
        <w:ind w:left="431"/>
        <w:jc w:val="both"/>
      </w:pPr>
      <w:r>
        <w:rPr>
          <w:rFonts w:ascii="Garamond" w:cs="Garamond" w:hAnsi="Garamond"/>
          <w:color w:val="2a2520"/>
          <w:sz w:val="22"/>
          <w:szCs w:val="22"/>
        </w:rPr>
        <w:t xml:space="preserve">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pPr>
        <w:spacing w:after="60" w:before="200"/>
        <w:jc w:val="left"/>
      </w:pPr>
      <w:r>
        <w:rPr>
          <w:rFonts w:ascii="Garamond" w:cs="Garamond" w:eastAsia="Garamond" w:hAnsi="Garamond"/>
          <w:b/>
          <w:bCs/>
          <w:i w:val="false"/>
          <w:iCs w:val="false"/>
          <w:color w:val="1B2A4A"/>
          <w:sz w:val="34"/>
          <w:szCs w:val="34"/>
        </w:rPr>
        <w:t xml:space="preserve">Article III — The Legislature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§3.1  </w:t>
      </w:r>
      <w:r>
        <w:rPr>
          <w:rFonts w:ascii="Garamond" w:cs="Garamond" w:eastAsia="Garamond" w:hAnsi="Garamond"/>
          <w:b/>
          <w:bCs/>
          <w:i w:val="false"/>
          <w:iCs w:val="false"/>
          <w:color w:val="1B2A4A"/>
          <w:sz w:val="22"/>
          <w:szCs w:val="22"/>
        </w:rPr>
        <w:t xml:space="preserve">The Legislature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comprises two chambers: the Assembly and the Senate. All legislation originates in the Assembly. The Senate reviews, may amend within the subject matter of the bill, and must act on every Assembly-passed bill within the period defined by statute — inaction triggers automatic deemed approval. In the absence of a statutory period, the Senate must act within 90 days of receipt. Neither chamber may indefinitely delay business assigned to it by this constitution.</w:t>
      </w:r>
    </w:p>
    <w:p>
      <w:pPr>
        <w:spacing w:after="60" w:before="200"/>
        <w:ind w:left="431"/>
        <w:jc w:val="left"/>
      </w:pPr>
      <w:r>
        <w:rPr>
          <w:rFonts w:ascii="Courier New" w:cs="Courier New" w:eastAsia="Courier New" w:hAnsi="Courier New"/>
          <w:b/>
          <w:bCs/>
          <w:color w:val="1B2A4A"/>
          <w:sz w:val="18"/>
          <w:szCs w:val="18"/>
        </w:rPr>
        <w:t xml:space="preserve">§3.2  </w:t>
      </w:r>
      <w:r>
        <w:rPr>
          <w:rFonts w:ascii="Garamond" w:cs="Garamond" w:eastAsia="Garamond" w:hAnsi="Garamond"/>
          <w:b/>
          <w:bCs/>
          <w:i w:val="false"/>
          <w:iCs w:val="false"/>
          <w:color w:val="1B2A4A"/>
          <w:sz w:val="22"/>
          <w:szCs w:val="22"/>
        </w:rPr>
        <w:t xml:space="preserve">The Assembly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All member financial interests are disclosed to the EM and published to the NRS.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w:t>
      </w:r>
    </w:p>
    <w:p>
      <w:pPr>
        <w:spacing w:after="60" w:before="200"/>
        <w:ind w:left="431"/>
        <w:jc w:val="left"/>
      </w:pPr>
      <w:r>
        <w:rPr>
          <w:rFonts w:ascii="Courier New" w:cs="Courier New" w:eastAsia="Courier New" w:hAnsi="Courier New"/>
          <w:b/>
          <w:bCs/>
          <w:color w:val="1B2A4A"/>
          <w:sz w:val="18"/>
          <w:szCs w:val="18"/>
        </w:rPr>
        <w:t xml:space="preserve">§3.3  </w:t>
      </w:r>
      <w:r>
        <w:rPr>
          <w:rFonts w:ascii="Garamond" w:cs="Garamond" w:eastAsia="Garamond" w:hAnsi="Garamond"/>
          <w:b/>
          <w:bCs/>
          <w:i w:val="false"/>
          <w:iCs w:val="false"/>
          <w:color w:val="1B2A4A"/>
          <w:sz w:val="22"/>
          <w:szCs w:val="22"/>
        </w:rPr>
        <w:t xml:space="preserve">Electoral Districts</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a primary criterion.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pPr>
        <w:spacing w:after="60" w:before="200"/>
        <w:ind w:left="431"/>
        <w:jc w:val="left"/>
      </w:pPr>
      <w:r>
        <w:rPr>
          <w:rFonts w:ascii="Courier New" w:cs="Courier New" w:eastAsia="Courier New" w:hAnsi="Courier New"/>
          <w:b/>
          <w:bCs/>
          <w:color w:val="1B2A4A"/>
          <w:sz w:val="18"/>
          <w:szCs w:val="18"/>
        </w:rPr>
        <w:t xml:space="preserve">§3.4  </w:t>
      </w:r>
      <w:r>
        <w:rPr>
          <w:rFonts w:ascii="Garamond" w:cs="Garamond" w:eastAsia="Garamond" w:hAnsi="Garamond"/>
          <w:b/>
          <w:bCs/>
          <w:i w:val="false"/>
          <w:iCs w:val="false"/>
          <w:color w:val="1B2A4A"/>
          <w:sz w:val="22"/>
          <w:szCs w:val="22"/>
        </w:rPr>
        <w:t xml:space="preserve">Legislative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Members must disclose all financial interests to the EM. The Legislature must establish a joint ethics committee with authority to sanction and refer members; removal requires 2/3 of the relevant chamber; under §9.1, the chamber may request an EM assessment to inform the proceeding. The Republic provides standard residential accommodation at the Seat of Government to every serving member of both chambers during their period of service. The standard is defined by statute and applies equally to all members regardless of tenure, seniority, or political affiliation. </w:t>
      </w:r>
    </w:p>
    <w:p>
      <w:pPr>
        <w:spacing w:after="60" w:before="200"/>
        <w:ind w:left="431"/>
        <w:jc w:val="left"/>
      </w:pPr>
      <w:r>
        <w:rPr>
          <w:rFonts w:ascii="Courier New" w:cs="Courier New" w:eastAsia="Courier New" w:hAnsi="Courier New"/>
          <w:b/>
          <w:bCs/>
          <w:color w:val="1B2A4A"/>
          <w:sz w:val="18"/>
          <w:szCs w:val="18"/>
        </w:rPr>
        <w:t xml:space="preserve">§3.5  </w:t>
      </w:r>
      <w:r>
        <w:rPr>
          <w:rFonts w:ascii="Garamond" w:cs="Garamond" w:eastAsia="Garamond" w:hAnsi="Garamond"/>
          <w:b/>
          <w:bCs/>
          <w:i w:val="false"/>
          <w:iCs w:val="false"/>
          <w:color w:val="1B2A4A"/>
          <w:sz w:val="22"/>
          <w:szCs w:val="22"/>
        </w:rPr>
        <w:t xml:space="preserve">The Senate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its own law a recall mechanism for its senators; where a senator is recalled under State law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pPr>
        <w:spacing w:after="60" w:before="200"/>
        <w:ind w:left="431"/>
        <w:jc w:val="left"/>
      </w:pPr>
      <w:r>
        <w:rPr>
          <w:rFonts w:ascii="Courier New" w:cs="Courier New" w:eastAsia="Courier New" w:hAnsi="Courier New"/>
          <w:b/>
          <w:bCs/>
          <w:color w:val="1B2A4A"/>
          <w:sz w:val="18"/>
          <w:szCs w:val="18"/>
        </w:rPr>
        <w:t xml:space="preserve">§3.6  </w:t>
      </w:r>
      <w:r>
        <w:rPr>
          <w:rFonts w:ascii="Garamond" w:cs="Garamond" w:eastAsia="Garamond" w:hAnsi="Garamond"/>
          <w:b/>
          <w:bCs/>
          <w:i w:val="false"/>
          <w:iCs w:val="false"/>
          <w:color w:val="1B2A4A"/>
          <w:sz w:val="22"/>
          <w:szCs w:val="22"/>
        </w:rPr>
        <w:t xml:space="preserve">Treaty Ratification and Withdrawal</w:t>
      </w:r>
    </w:p>
    <w:p>
      <w:pPr>
        <w:spacing w:after="120" w:before="0"/>
        <w:ind w:left="431"/>
        <w:jc w:val="both"/>
      </w:pPr>
      <w:r>
        <w:rPr>
          <w:rFonts w:ascii="Garamond" w:cs="Garamond" w:eastAsia="Garamond" w:hAnsi="Garamond"/>
          <w:b w:val="false"/>
          <w:bCs w:val="false"/>
          <w:i w:val="false"/>
          <w:iCs w:val="false"/>
          <w:color w:val="2a2520"/>
          <w:sz w:val="22"/>
          <w:szCs w:val="22"/>
        </w:rPr>
        <w:t xml:space="preserve">Treaty and compact agreement ratification requires 2/3 of the full seated Senate.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For general treaties, the Senate may block withdrawal by simple majority within the notice period; if the Senate does not act, withdrawal takes effect. For mutual defense treaties, the Senate must affirmatively confirm withdrawal; if the Senate does not confirm, the treaty remains in force.</w:t>
      </w:r>
    </w:p>
    <w:p>
      <w:pPr>
        <w:spacing w:after="60" w:before="200"/>
        <w:ind w:left="431"/>
        <w:jc w:val="left"/>
      </w:pPr>
      <w:r>
        <w:rPr>
          <w:rFonts w:ascii="Courier New" w:cs="Courier New" w:eastAsia="Courier New" w:hAnsi="Courier New"/>
          <w:b/>
          <w:bCs/>
          <w:color w:val="1B2A4A"/>
          <w:sz w:val="18"/>
          <w:szCs w:val="18"/>
        </w:rPr>
        <w:t xml:space="preserve">§3.7  </w:t>
      </w:r>
      <w:r>
        <w:rPr>
          <w:rFonts w:ascii="Garamond" w:cs="Garamond" w:eastAsia="Garamond" w:hAnsi="Garamond"/>
          <w:b/>
          <w:bCs/>
          <w:i w:val="false"/>
          <w:iCs w:val="false"/>
          <w:color w:val="1B2A4A"/>
          <w:sz w:val="22"/>
          <w:szCs w:val="22"/>
        </w:rPr>
        <w:t xml:space="preserve">Legislative Process and Passage</w:t>
      </w:r>
    </w:p>
    <w:p>
      <w:pPr>
        <w:spacing w:after="120" w:before="0"/>
        <w:ind w:left="431"/>
        <w:jc w:val="both"/>
      </w:pPr>
      <w:r>
        <w:rPr>
          <w:rFonts w:ascii="Garamond" w:cs="Garamond" w:eastAsia="Garamond" w:hAnsi="Garamond"/>
          <w:b w:val="false"/>
          <w:bCs w:val="false"/>
          <w:i w:val="false"/>
          <w:iCs w:val="false"/>
          <w:color w:val="2a2520"/>
          <w:sz w:val="22"/>
          <w:szCs w:val="22"/>
        </w:rPr>
        <w:t xml:space="preserve">Bills pass by absolute majority of the full seated membership of both chambers. Higher thresholds apply to constitutional amendments, veto overrides, removal proceedings, and other matters specified in this constitution.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pPr>
        <w:spacing w:after="60" w:before="200"/>
        <w:ind w:left="431"/>
        <w:jc w:val="left"/>
      </w:pPr>
      <w:r>
        <w:rPr>
          <w:rFonts w:ascii="Courier New" w:cs="Courier New" w:eastAsia="Courier New" w:hAnsi="Courier New"/>
          <w:b/>
          <w:bCs/>
          <w:color w:val="1B2A4A"/>
          <w:sz w:val="18"/>
          <w:szCs w:val="18"/>
        </w:rPr>
        <w:t xml:space="preserve">§3.8  </w:t>
      </w:r>
      <w:r>
        <w:rPr>
          <w:rFonts w:ascii="Garamond" w:cs="Garamond" w:eastAsia="Garamond" w:hAnsi="Garamond"/>
          <w:b/>
          <w:bCs/>
          <w:i w:val="false"/>
          <w:iCs w:val="false"/>
          <w:color w:val="1B2A4A"/>
          <w:sz w:val="22"/>
          <w:szCs w:val="22"/>
        </w:rPr>
        <w:t xml:space="preserve">Legislative Oversight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but does not extend to criminal conduct or acts the EM has assessed as constitutional breaches.</w:t>
      </w:r>
    </w:p>
    <w:p>
      <w:pPr>
        <w:spacing w:after="60" w:before="200"/>
        <w:ind w:left="431"/>
        <w:jc w:val="left"/>
      </w:pPr>
      <w:r>
        <w:rPr>
          <w:rFonts w:ascii="Courier New" w:cs="Courier New" w:eastAsia="Courier New" w:hAnsi="Courier New"/>
          <w:b/>
          <w:bCs/>
          <w:color w:val="1B2A4A"/>
          <w:sz w:val="18"/>
          <w:szCs w:val="18"/>
        </w:rPr>
        <w:t xml:space="preserve">§3.9  </w:t>
      </w:r>
      <w:r>
        <w:rPr>
          <w:rFonts w:ascii="Garamond" w:cs="Garamond" w:eastAsia="Garamond" w:hAnsi="Garamond"/>
          <w:b/>
          <w:bCs/>
          <w:i w:val="false"/>
          <w:iCs w:val="false"/>
          <w:color w:val="1B2A4A"/>
          <w:sz w:val="22"/>
          <w:szCs w:val="22"/>
        </w:rPr>
        <w:t xml:space="preserve">Independent Statutory Agencies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w:t>
      </w:r>
    </w:p>
    <w:p>
      <w:pPr>
        <w:spacing w:after="60" w:before="200"/>
        <w:ind w:left="431"/>
        <w:jc w:val="left"/>
      </w:pPr>
      <w:r>
        <w:rPr>
          <w:rFonts w:ascii="Courier New" w:cs="Courier New" w:eastAsia="Courier New" w:hAnsi="Courier New"/>
          <w:b/>
          <w:bCs/>
          <w:color w:val="1B2A4A"/>
          <w:sz w:val="18"/>
          <w:szCs w:val="18"/>
        </w:rPr>
        <w:t xml:space="preserve">§3.10  </w:t>
      </w:r>
      <w:r>
        <w:rPr>
          <w:rFonts w:ascii="Garamond" w:cs="Garamond" w:eastAsia="Garamond" w:hAnsi="Garamond"/>
          <w:b/>
          <w:bCs/>
          <w:i w:val="false"/>
          <w:iCs w:val="false"/>
          <w:color w:val="1B2A4A"/>
          <w:sz w:val="22"/>
          <w:szCs w:val="22"/>
        </w:rPr>
        <w:t xml:space="preserve">Impeachment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pPr>
        <w:spacing w:after="60" w:before="200"/>
        <w:ind w:left="431"/>
        <w:jc w:val="left"/>
      </w:pPr>
      <w:r>
        <w:rPr>
          <w:rFonts w:ascii="Courier New" w:cs="Courier New" w:eastAsia="Courier New" w:hAnsi="Courier New"/>
          <w:b/>
          <w:bCs/>
          <w:color w:val="1B2A4A"/>
          <w:sz w:val="18"/>
          <w:szCs w:val="18"/>
        </w:rPr>
        <w:t xml:space="preserve">§3.11  </w:t>
      </w:r>
      <w:r>
        <w:rPr>
          <w:rFonts w:ascii="Garamond" w:cs="Garamond" w:eastAsia="Garamond" w:hAnsi="Garamond"/>
          <w:b/>
          <w:bCs/>
          <w:color w:val="1B2A4A"/>
          <w:sz w:val="22"/>
          <w:szCs w:val="22"/>
        </w:rPr>
        <w:t>Inviolability of Electoral Mandates</w:t>
      </w:r>
    </w:p>
    <w:p>
      <w:pPr>
        <w:spacing w:after="120" w:before="0"/>
        <w:ind w:left="431"/>
        <w:jc w:val="both"/>
      </w:pPr>
      <w:r>
        <w:rPr>
          <w:rFonts w:ascii="Garamond" w:cs="Garamond" w:eastAsia="Garamond" w:hAnsi="Garamond"/>
          <w:b w:val="false"/>
          <w:bCs w:val="false"/>
          <w:i w:val="false"/>
          <w:iCs w:val="false"/>
          <w:color w:val="auto"/>
          <w:sz w:val="22"/>
          <w:szCs w:val="22"/>
        </w:rPr>
        <w:t xml:space="preserve">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§3.5; and impeachment and removal under §3.10. Any mechanism enabling the people themselves to shorten an elected mandate not already provided in this Constitution requires a constitutional amendment under Article XVII and may not be established by ordinary statute.</w:t>
      </w:r>
    </w:p>
    <w:p>
      <w:pPr>
        <w:spacing w:after="60" w:before="200"/>
        <w:ind w:left="431"/>
        <w:jc w:val="left"/>
      </w:pPr>
      <w:r>
        <w:rPr>
          <w:rFonts w:ascii="Courier New" w:cs="Courier New" w:eastAsia="Courier New" w:hAnsi="Courier New"/>
          <w:b/>
          <w:bCs/>
          <w:color w:val="1B2A4A"/>
          <w:sz w:val="18"/>
          <w:szCs w:val="18"/>
        </w:rPr>
        <w:t xml:space="preserve">§3.12  </w:t>
      </w:r>
      <w:r>
        <w:rPr>
          <w:rFonts w:ascii="Garamond" w:cs="Garamond" w:eastAsia="Garamond" w:hAnsi="Garamond"/>
          <w:b/>
          <w:bCs/>
          <w:color w:val="1B2A4A"/>
          <w:sz w:val="22"/>
          <w:szCs w:val="22"/>
        </w:rPr>
        <w:t xml:space="preserve">Disqualifying Offense</w:t>
      </w:r>
    </w:p>
    <w:p>
      <w:pPr>
        <w:spacing w:after="120" w:before="0"/>
        <w:ind w:left="431"/>
        <w:jc w:val="both"/>
      </w:pPr>
      <w:r>
        <w:rPr>
          <w:rFonts w:ascii="Garamond" w:cs="Garamond" w:eastAsia="Garamond" w:hAnsi="Garamond"/>
          <w:b w:val="false"/>
          <w:bCs w:val="false"/>
          <w:i w:val="false"/>
          <w:iCs w:val="false"/>
          <w:color w:val="2a2520"/>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under appeal at the time a relevant constitutional determination is made, the conviction stands for constitutional purposes unless and until it is reversed by a court of competent jurisdiction.</w:t>
      </w:r>
    </w:p>
    <w:p>
      <w:pPr>
        <w:spacing w:after="60" w:before="200"/>
        <w:ind w:left="431"/>
        <w:jc w:val="left"/>
      </w:pPr>
      <w:r>
        <w:rPr>
          <w:rFonts w:ascii="Courier New" w:cs="Courier New" w:eastAsia="Courier New" w:hAnsi="Courier New"/>
          <w:b/>
          <w:bCs/>
          <w:color w:val="1B2A4A"/>
          <w:sz w:val="18"/>
          <w:szCs w:val="18"/>
        </w:rPr>
        <w:t xml:space="preserve">§3.13  </w:t>
      </w:r>
      <w:r>
        <w:rPr>
          <w:rFonts w:ascii="Garamond" w:cs="Garamond" w:eastAsia="Garamond" w:hAnsi="Garamond"/>
          <w:b/>
          <w:bCs/>
          <w:color w:val="1B2A4A"/>
          <w:sz w:val="22"/>
          <w:szCs w:val="22"/>
        </w:rPr>
        <w:t xml:space="preserve">Continuity of Constitutionally Mandated Offices</w:t>
      </w:r>
    </w:p>
    <w:p>
      <w:pPr>
        <w:spacing w:after="120" w:before="0"/>
        <w:ind w:left="431"/>
        <w:jc w:val="both"/>
      </w:pPr>
      <w:r>
        <w:rPr>
          <w:rFonts w:ascii="Garamond" w:cs="Garamond" w:eastAsia="Garamond" w:hAnsi="Garamond"/>
          <w:b w:val="false"/>
          <w:bCs w:val="false"/>
          <w:i w:val="false"/>
          <w:iCs w:val="false"/>
          <w:color w:val="2a2520"/>
          <w:sz w:val="22"/>
          <w:szCs w:val="22"/>
        </w:rPr>
        <w:t xml:space="preserve">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pPr>
        <w:spacing w:after="80" w:before="200"/>
        <w:ind w:left="431"/>
      </w:pPr>
      <w:r>
        <w:rPr>
          <w:rFonts w:ascii="Courier New" w:cs="Courier New" w:eastAsia="Courier New" w:hAnsi="Courier New"/>
          <w:b/>
          <w:bCs/>
          <w:color w:val="1B2A4A"/>
          <w:sz w:val="18"/>
          <w:szCs w:val="18"/>
        </w:rPr>
        <w:t xml:space="preserve">§3.14  </w:t>
      </w:r>
      <w:r>
        <w:rPr>
          <w:rFonts w:ascii="Garamond" w:cs="Garamond" w:eastAsia="Garamond" w:hAnsi="Garamond"/>
          <w:b/>
          <w:bCs/>
          <w:i w:val="false"/>
          <w:iCs w:val="false"/>
          <w:color w:val="1B2A4A"/>
          <w:sz w:val="22"/>
          <w:szCs w:val="22"/>
        </w:rPr>
        <w:t xml:space="preserve">Federal Legislative Competence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w:t>
      </w:r>
    </w:p>
    <w:p>
      <w:pPr>
        <w:spacing w:after="60" w:before="200"/>
        <w:jc w:val="left"/>
      </w:pPr>
      <w:r>
        <w:rPr>
          <w:rFonts w:ascii="Garamond" w:cs="Garamond" w:eastAsia="Garamond" w:hAnsi="Garamond"/>
          <w:b/>
          <w:bCs/>
          <w:i w:val="false"/>
          <w:iCs w:val="false"/>
          <w:color w:val="1B2A4A"/>
          <w:sz w:val="34"/>
          <w:szCs w:val="34"/>
        </w:rPr>
        <w:t xml:space="preserve">Article IV — The Judicial Architecture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§4.1  </w:t>
      </w:r>
      <w:r>
        <w:rPr>
          <w:rFonts w:ascii="Garamond" w:cs="Garamond" w:eastAsia="Garamond" w:hAnsi="Garamond"/>
          <w:b/>
          <w:bCs/>
          <w:i w:val="false"/>
          <w:iCs w:val="false"/>
          <w:color w:val="1B2A4A"/>
          <w:sz w:val="22"/>
          <w:szCs w:val="22"/>
        </w:rPr>
        <w:t xml:space="preserve">Court Structure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pPr>
        <w:spacing w:after="60" w:before="200"/>
        <w:ind w:left="431"/>
        <w:jc w:val="left"/>
      </w:pPr>
      <w:r>
        <w:rPr>
          <w:rFonts w:ascii="Courier New" w:cs="Courier New" w:eastAsia="Courier New" w:hAnsi="Courier New"/>
          <w:b/>
          <w:bCs/>
          <w:color w:val="1B2A4A"/>
          <w:sz w:val="18"/>
          <w:szCs w:val="18"/>
        </w:rPr>
        <w:t xml:space="preserve">§4.2  </w:t>
      </w:r>
      <w:r>
        <w:rPr>
          <w:rFonts w:ascii="Garamond" w:cs="Garamond" w:eastAsia="Garamond" w:hAnsi="Garamond"/>
          <w:b/>
          <w:bCs/>
          <w:i w:val="false"/>
          <w:iCs w:val="false"/>
          <w:color w:val="1B2A4A"/>
          <w:sz w:val="22"/>
          <w:szCs w:val="22"/>
        </w:rPr>
        <w:t xml:space="preserve">Judicial Appointments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meeting the basic legal qualifications defined by statute may apply to the Elections Panel; the Elections Panel enters qualifying applicants into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pPr>
        <w:spacing w:after="60" w:before="200"/>
        <w:ind w:left="431"/>
        <w:jc w:val="left"/>
      </w:pPr>
      <w:r>
        <w:rPr>
          <w:rFonts w:ascii="Courier New" w:cs="Courier New" w:eastAsia="Courier New" w:hAnsi="Courier New"/>
          <w:b/>
          <w:bCs/>
          <w:color w:val="1B2A4A"/>
          <w:sz w:val="18"/>
          <w:szCs w:val="18"/>
        </w:rPr>
        <w:t xml:space="preserve">§4.3  </w:t>
      </w:r>
      <w:r>
        <w:rPr>
          <w:rFonts w:ascii="Garamond" w:cs="Garamond" w:eastAsia="Garamond" w:hAnsi="Garamond"/>
          <w:b/>
          <w:bCs/>
          <w:i w:val="false"/>
          <w:iCs w:val="false"/>
          <w:color w:val="1B2A4A"/>
          <w:sz w:val="22"/>
          <w:szCs w:val="22"/>
        </w:rPr>
        <w:t xml:space="preserve">The Supreme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w:t>
      </w:r>
    </w:p>
    <w:p>
      <w:pPr>
        <w:spacing w:after="60" w:before="200"/>
        <w:ind w:left="431"/>
        <w:jc w:val="left"/>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Supreme Court Quorum</w:t>
      </w:r>
    </w:p>
    <w:p>
      <w:pPr>
        <w:spacing w:after="120" w:before="0"/>
        <w:ind w:left="431"/>
        <w:jc w:val="both"/>
      </w:pPr>
      <w:r>
        <w:rPr>
          <w:rFonts w:ascii="Garamond" w:cs="Garamond" w:eastAsia="Garamond" w:hAnsi="Garamond"/>
          <w:b w:val="false"/>
          <w:bCs w:val="false"/>
          <w:i w:val="false"/>
          <w:iCs w:val="false"/>
          <w:color w:val="2a2520"/>
          <w:sz w:val="22"/>
          <w:szCs w:val="22"/>
        </w:rPr>
        <w:t xml:space="preserve">A majority of the SC’s seated justices — including any Temporary Associate Justices — constitutes quorum for ordinary decisions. Constitutional questions require a minimum of five justices regardless of total seated membership. The Legislature establishes by statute the procedure for filling any remaining Temporary Associate Justice positions.</w:t>
      </w:r>
    </w:p>
    <w:p>
      <w:pPr>
        <w:spacing w:after="60" w:before="200"/>
        <w:ind w:left="431"/>
        <w:jc w:val="left"/>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Supreme Court Justice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within 48 hours. Judicial disagreement — however profound — does not constitute grounds for removal; the independence of SC judicial judgment is absolute and may not itself be invoked as grounds for removal. Upon removal, the most senior Appellate Court judge auto-designates as Temporary Associate Justice under §4.4 until the vacancy is filled.</w:t>
      </w:r>
    </w:p>
    <w:p>
      <w:pPr>
        <w:spacing w:after="60" w:before="200"/>
        <w:ind w:left="431"/>
        <w:jc w:val="left"/>
      </w:pPr>
      <w:r>
        <w:rPr>
          <w:rFonts w:ascii="Courier New" w:cs="Courier New" w:eastAsia="Courier New" w:hAnsi="Courier New"/>
          <w:b/>
          <w:bCs/>
          <w:color w:val="1B2A4A"/>
          <w:sz w:val="18"/>
          <w:szCs w:val="18"/>
        </w:rPr>
        <w:t xml:space="preserve">§4.4  </w:t>
      </w:r>
      <w:r>
        <w:rPr>
          <w:rFonts w:ascii="Garamond" w:cs="Garamond" w:eastAsia="Garamond" w:hAnsi="Garamond"/>
          <w:b/>
          <w:bCs/>
          <w:i w:val="false"/>
          <w:iCs w:val="false"/>
          <w:color w:val="1B2A4A"/>
          <w:sz w:val="22"/>
          <w:szCs w:val="22"/>
        </w:rPr>
        <w:t xml:space="preserve">Supreme Court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SC justices are nominated by the Civic Consul from the Judicial Pool maintained by the Elections Panel under §9.12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The Legislature must by statute establish a recusal framework; in the absence of statute, a justice must recuse where impartiality could reasonably be questioned. Upon any SC vacancy, the most senior Appellate Court judge by continuous service is automatically designated Temporary Associate Justice within 5 days — without nomination or confirmation — holding full voting rights until the vacancy is filled. A Temporary Associate Justice may not stand as a candidate for the seat they are temporarily filling.</w:t>
      </w:r>
    </w:p>
    <w:p>
      <w:pPr>
        <w:spacing w:after="60" w:before="200"/>
        <w:ind w:left="431"/>
        <w:jc w:val="left"/>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Senate Bypass — Public Confirmation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LM has assessed and reported a Senate breach under §4.4, the Civic Consul may — with 2/3 Assembly consent — place the serving Temporary Associate Justice on the next federal electoral period ballot for public confirmation. Confirmation requires 60% of votes cast;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registry nominee before the public vote is certified ends the bypass immediately.</w:t>
      </w:r>
    </w:p>
    <w:p>
      <w:pPr>
        <w:spacing w:after="60" w:before="200"/>
        <w:ind w:left="431"/>
        <w:jc w:val="left"/>
      </w:pPr>
      <w:r>
        <w:rPr>
          <w:rFonts w:ascii="Courier New" w:cs="Courier New" w:eastAsia="Courier New" w:hAnsi="Courier New"/>
          <w:b/>
          <w:bCs/>
          <w:color w:val="1B2A4A"/>
          <w:sz w:val="18"/>
          <w:szCs w:val="18"/>
        </w:rPr>
        <w:t xml:space="preserve">§4.5  </w:t>
      </w:r>
      <w:r>
        <w:rPr>
          <w:rFonts w:ascii="Garamond" w:cs="Garamond" w:eastAsia="Garamond" w:hAnsi="Garamond"/>
          <w:b/>
          <w:bCs/>
          <w:i w:val="false"/>
          <w:iCs w:val="false"/>
          <w:color w:val="1B2A4A"/>
          <w:sz w:val="22"/>
          <w:szCs w:val="22"/>
        </w:rPr>
        <w:t xml:space="preserve">Judicial Review and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disputes between States, between a State and the federal government, and over constitutional challenges to federal statutes.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w:t>
      </w:r>
    </w:p>
    <w:p>
      <w:pPr>
        <w:spacing w:after="60" w:before="200"/>
        <w:ind w:left="431"/>
        <w:jc w:val="left"/>
      </w:pPr>
      <w:r>
        <w:rPr>
          <w:rFonts w:ascii="Courier New" w:cs="Courier New" w:eastAsia="Courier New" w:hAnsi="Courier New"/>
          <w:b/>
          <w:bCs/>
          <w:color w:val="1B2A4A"/>
          <w:sz w:val="18"/>
          <w:szCs w:val="18"/>
        </w:rPr>
        <w:t xml:space="preserve">§4.6  </w:t>
      </w:r>
      <w:r>
        <w:rPr>
          <w:rFonts w:ascii="Garamond" w:cs="Garamond" w:eastAsia="Garamond" w:hAnsi="Garamond"/>
          <w:b/>
          <w:bCs/>
          <w:i w:val="false"/>
          <w:iCs w:val="false"/>
          <w:color w:val="1B2A4A"/>
          <w:sz w:val="22"/>
          <w:szCs w:val="22"/>
        </w:rPr>
        <w:t xml:space="preserve">Judgment Recognition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pPr>
        <w:spacing w:after="60" w:before="200"/>
        <w:ind w:left="431"/>
        <w:jc w:val="left"/>
      </w:pPr>
      <w:r>
        <w:rPr>
          <w:rFonts w:ascii="Courier New" w:cs="Courier New" w:eastAsia="Courier New" w:hAnsi="Courier New"/>
          <w:b/>
          <w:bCs/>
          <w:color w:val="1B2A4A"/>
          <w:sz w:val="18"/>
          <w:szCs w:val="18"/>
        </w:rPr>
        <w:t xml:space="preserve">§4.7  </w:t>
      </w:r>
      <w:r>
        <w:rPr>
          <w:rFonts w:ascii="Garamond" w:cs="Garamond" w:eastAsia="Garamond" w:hAnsi="Garamond"/>
          <w:b/>
          <w:bCs/>
          <w:i w:val="false"/>
          <w:iCs w:val="false"/>
          <w:color w:val="1B2A4A"/>
          <w:sz w:val="22"/>
          <w:szCs w:val="22"/>
        </w:rPr>
        <w:t xml:space="preserve">Jury Service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are required to serve on juries when called. Jury service is compensated at a rate the Legislature defines by statute. Unexcused refusal is subject to civil consequences the Legislature defines. Jury service does not constitute forced labor under §1.4.</w:t>
      </w:r>
    </w:p>
    <w:p>
      <w:pPr>
        <w:spacing w:after="60" w:before="200"/>
        <w:jc w:val="left"/>
      </w:pPr>
      <w:r>
        <w:rPr>
          <w:rFonts w:ascii="Garamond" w:cs="Garamond" w:eastAsia="Garamond" w:hAnsi="Garamond"/>
          <w:b/>
          <w:bCs/>
          <w:i w:val="false"/>
          <w:iCs w:val="false"/>
          <w:color w:val="1B2A4A"/>
          <w:sz w:val="34"/>
          <w:szCs w:val="34"/>
        </w:rPr>
        <w:t xml:space="preserve">Article V — Citizenship and National Identity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§5.1  </w:t>
      </w:r>
      <w:r>
        <w:rPr>
          <w:rFonts w:ascii="Garamond" w:cs="Garamond" w:eastAsia="Garamond" w:hAnsi="Garamond"/>
          <w:b/>
          <w:bCs/>
          <w:i w:val="false"/>
          <w:iCs w:val="false"/>
          <w:color w:val="1B2A4A"/>
          <w:sz w:val="22"/>
          <w:szCs w:val="22"/>
        </w:rPr>
        <w:t xml:space="preserve">Citizenship</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Citizenship is acquired by birth, by parentage, or by naturalization. A child is automatically a citizen if at least one parent is a citizen or legal resident at birth. Citizens acquire their full citizenship rights, including the right to vote and stand for office, at 18. No citizenship may be stripped from a natural-born citizen. Where a child born on Republic territory would hold no other citizenship, or would otherwise be stateless regardless of birthplace, citizenship is granted from birth.</w:t>
      </w:r>
    </w:p>
    <w:p>
      <w:pPr>
        <w:spacing w:after="60" w:before="200"/>
        <w:ind w:left="431"/>
        <w:jc w:val="left"/>
      </w:pPr>
      <w:r>
        <w:rPr>
          <w:rFonts w:ascii="Courier New" w:cs="Courier New" w:eastAsia="Courier New" w:hAnsi="Courier New"/>
          <w:b/>
          <w:bCs/>
          <w:color w:val="1B2A4A"/>
          <w:sz w:val="18"/>
          <w:szCs w:val="18"/>
        </w:rPr>
        <w:t xml:space="preserve">§5.1.a  </w:t>
      </w:r>
      <w:r>
        <w:rPr>
          <w:rFonts w:ascii="Garamond" w:cs="Garamond" w:eastAsia="Garamond" w:hAnsi="Garamond"/>
          <w:b/>
          <w:bCs/>
          <w:i w:val="false"/>
          <w:iCs w:val="false"/>
          <w:color w:val="1B2A4A"/>
          <w:sz w:val="22"/>
          <w:szCs w:val="22"/>
        </w:rPr>
        <w:t xml:space="preserve">Naturalization and Service Path</w:t>
      </w:r>
    </w:p>
    <w:p>
      <w:pPr>
        <w:spacing w:after="120" w:before="0"/>
        <w:ind w:left="431"/>
        <w:jc w:val="both"/>
      </w:pPr>
      <w:r>
        <w:rPr>
          <w:rFonts w:ascii="Garamond" w:cs="Garamond" w:eastAsia="Garamond" w:hAnsi="Garamond"/>
          <w:b w:val="false"/>
          <w:bCs w:val="false"/>
          <w:i w:val="false"/>
          <w:iCs w:val="false"/>
          <w:color w:val="2a2520"/>
          <w:sz w:val="22"/>
          <w:szCs w:val="22"/>
        </w:rPr>
        <w:t xml:space="preserve">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w:t>
      </w:r>
    </w:p>
    <w:p>
      <w:pPr>
        <w:spacing w:after="60" w:before="200"/>
        <w:ind w:left="431"/>
        <w:jc w:val="left"/>
      </w:pPr>
      <w:r>
        <w:rPr>
          <w:rFonts w:ascii="Courier New" w:cs="Courier New" w:eastAsia="Courier New" w:hAnsi="Courier New"/>
          <w:b/>
          <w:bCs/>
          <w:color w:val="1B2A4A"/>
          <w:sz w:val="18"/>
          <w:szCs w:val="18"/>
        </w:rPr>
        <w:t xml:space="preserve">§5.1.b  </w:t>
      </w:r>
      <w:r>
        <w:rPr>
          <w:rFonts w:ascii="Garamond" w:cs="Garamond" w:eastAsia="Garamond" w:hAnsi="Garamond"/>
          <w:b/>
          <w:bCs/>
          <w:i w:val="false"/>
          <w:iCs w:val="false"/>
          <w:color w:val="1B2A4A"/>
          <w:sz w:val="22"/>
          <w:szCs w:val="22"/>
        </w:rPr>
        <w:t xml:space="preserve">Derivative and Founding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 child born before a parent acquired legal residency or citizenship, who accompanies that parent to the Republic within a Legislature-defined window, receives derivative status. All individuals holding voting rights on Day Zero of ratification are automatically granted full citizenship as founding members of the Republic without testing or application.</w:t>
      </w:r>
    </w:p>
    <w:p>
      <w:pPr>
        <w:spacing w:after="60" w:before="200"/>
        <w:ind w:left="431"/>
        <w:jc w:val="left"/>
      </w:pPr>
      <w:r>
        <w:rPr>
          <w:rFonts w:ascii="Courier New" w:cs="Courier New" w:eastAsia="Courier New" w:hAnsi="Courier New"/>
          <w:b/>
          <w:bCs/>
          <w:color w:val="1B2A4A"/>
          <w:sz w:val="18"/>
          <w:szCs w:val="18"/>
        </w:rPr>
        <w:t xml:space="preserve">§5.2  </w:t>
      </w:r>
      <w:r>
        <w:rPr>
          <w:rFonts w:ascii="Garamond" w:cs="Garamond" w:eastAsia="Garamond" w:hAnsi="Garamond"/>
          <w:b/>
          <w:bCs/>
          <w:i w:val="false"/>
          <w:iCs w:val="false"/>
          <w:color w:val="1B2A4A"/>
          <w:sz w:val="22"/>
          <w:szCs w:val="22"/>
        </w:rPr>
        <w:t xml:space="preserve">Legal Resident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pPr>
        <w:spacing w:after="60" w:before="200"/>
        <w:ind w:left="431"/>
        <w:jc w:val="left"/>
      </w:pPr>
      <w:r>
        <w:rPr>
          <w:rFonts w:ascii="Courier New" w:cs="Courier New" w:eastAsia="Courier New" w:hAnsi="Courier New"/>
          <w:b/>
          <w:bCs/>
          <w:color w:val="1B2A4A"/>
          <w:sz w:val="18"/>
          <w:szCs w:val="18"/>
        </w:rPr>
        <w:t xml:space="preserve">§5.3  </w:t>
      </w:r>
      <w:r>
        <w:rPr>
          <w:rFonts w:ascii="Garamond" w:cs="Garamond" w:eastAsia="Garamond" w:hAnsi="Garamond"/>
          <w:b/>
          <w:bCs/>
          <w:i w:val="false"/>
          <w:iCs w:val="false"/>
          <w:color w:val="1B2A4A"/>
          <w:sz w:val="22"/>
          <w:szCs w:val="22"/>
        </w:rPr>
        <w:t xml:space="preserve">Custodial Care of Citizen Children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pPr>
        <w:spacing w:after="60" w:before="200"/>
        <w:jc w:val="left"/>
      </w:pPr>
      <w:r>
        <w:rPr>
          <w:rFonts w:ascii="Garamond" w:cs="Garamond" w:eastAsia="Garamond" w:hAnsi="Garamond"/>
          <w:b/>
          <w:bCs/>
          <w:i w:val="false"/>
          <w:iCs w:val="false"/>
          <w:color w:val="1B2A4A"/>
          <w:sz w:val="34"/>
          <w:szCs w:val="34"/>
        </w:rPr>
        <w:t xml:space="preserve">Article VI — Immigration and Residency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§6.1  </w:t>
      </w:r>
      <w:r>
        <w:rPr>
          <w:rFonts w:ascii="Garamond" w:cs="Garamond" w:eastAsia="Garamond" w:hAnsi="Garamond"/>
          <w:b/>
          <w:bCs/>
          <w:i w:val="false"/>
          <w:iCs w:val="false"/>
          <w:color w:val="1B2A4A"/>
          <w:sz w:val="22"/>
          <w:szCs w:val="22"/>
        </w:rPr>
        <w:t xml:space="preserve">The Two-Stage Immigration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pPr>
        <w:spacing w:after="60" w:before="200"/>
        <w:ind w:left="431"/>
        <w:jc w:val="left"/>
      </w:pPr>
      <w:r>
        <w:rPr>
          <w:rFonts w:ascii="Courier New" w:cs="Courier New" w:eastAsia="Courier New" w:hAnsi="Courier New"/>
          <w:b/>
          <w:bCs/>
          <w:color w:val="1B2A4A"/>
          <w:sz w:val="18"/>
          <w:szCs w:val="18"/>
        </w:rPr>
        <w:t xml:space="preserve">§6.2  </w:t>
      </w:r>
      <w:r>
        <w:rPr>
          <w:rFonts w:ascii="Garamond" w:cs="Garamond" w:eastAsia="Garamond" w:hAnsi="Garamond"/>
          <w:b/>
          <w:bCs/>
          <w:i w:val="false"/>
          <w:iCs w:val="false"/>
          <w:color w:val="1B2A4A"/>
          <w:sz w:val="22"/>
          <w:szCs w:val="22"/>
        </w:rPr>
        <w:t xml:space="preserve">Enforcement, Removal, and Appeals</w:t>
      </w:r>
    </w:p>
    <w:p>
      <w:pPr>
        <w:spacing w:after="120" w:before="0"/>
        <w:ind w:left="431"/>
        <w:jc w:val="both"/>
      </w:pPr>
      <w:r>
        <w:rPr>
          <w:rFonts w:ascii="Garamond" w:cs="Garamond" w:eastAsia="Garamond" w:hAnsi="Garamond"/>
          <w:b w:val="false"/>
          <w:bCs w:val="false"/>
          <w:i w:val="false"/>
          <w:iCs w:val="false"/>
          <w:color w:val="2a2520"/>
          <w:sz w:val="22"/>
          <w:szCs w:val="22"/>
        </w:rPr>
        <w:t xml:space="preserve">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pPr>
        <w:spacing w:after="60" w:before="200"/>
        <w:ind w:left="431"/>
        <w:jc w:val="left"/>
      </w:pPr>
      <w:r>
        <w:rPr>
          <w:rFonts w:ascii="Courier New" w:cs="Courier New" w:eastAsia="Courier New" w:hAnsi="Courier New"/>
          <w:b/>
          <w:bCs/>
          <w:color w:val="1B2A4A"/>
          <w:sz w:val="18"/>
          <w:szCs w:val="18"/>
        </w:rPr>
        <w:t xml:space="preserve">§6.3  </w:t>
      </w:r>
      <w:r>
        <w:rPr>
          <w:rFonts w:ascii="Garamond" w:cs="Garamond" w:eastAsia="Garamond" w:hAnsi="Garamond"/>
          <w:b/>
          <w:bCs/>
          <w:i w:val="false"/>
          <w:iCs w:val="false"/>
          <w:color w:val="1B2A4A"/>
          <w:sz w:val="22"/>
          <w:szCs w:val="22"/>
        </w:rPr>
        <w:t xml:space="preserve">Asylum and Protection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w:t>
      </w:r>
    </w:p>
    <w:p>
      <w:pPr>
        <w:spacing w:after="60" w:before="200"/>
        <w:ind w:left="431"/>
        <w:jc w:val="left"/>
      </w:pPr>
      <w:r>
        <w:rPr>
          <w:rFonts w:ascii="Courier New" w:cs="Courier New" w:eastAsia="Courier New" w:hAnsi="Courier New"/>
          <w:b/>
          <w:bCs/>
          <w:color w:val="1B2A4A"/>
          <w:sz w:val="18"/>
          <w:szCs w:val="18"/>
        </w:rPr>
        <w:t xml:space="preserve">§6.3.a  </w:t>
      </w:r>
      <w:r>
        <w:rPr>
          <w:rFonts w:ascii="Garamond" w:cs="Garamond" w:eastAsia="Garamond" w:hAnsi="Garamond"/>
          <w:b/>
          <w:bCs/>
          <w:i w:val="false"/>
          <w:iCs w:val="false"/>
          <w:color w:val="1B2A4A"/>
          <w:sz w:val="22"/>
          <w:szCs w:val="22"/>
        </w:rPr>
        <w:t xml:space="preserve">Asylum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w:t>
      </w:r>
    </w:p>
    <w:p>
      <w:pPr>
        <w:spacing w:after="60" w:before="200"/>
        <w:ind w:left="431"/>
        <w:jc w:val="left"/>
      </w:pPr>
      <w:r>
        <w:rPr>
          <w:rFonts w:ascii="Courier New" w:cs="Courier New" w:eastAsia="Courier New" w:hAnsi="Courier New"/>
          <w:b/>
          <w:bCs/>
          <w:color w:val="1B2A4A"/>
          <w:sz w:val="18"/>
          <w:szCs w:val="18"/>
        </w:rPr>
        <w:t xml:space="preserve">§6.3.b  </w:t>
      </w:r>
      <w:r>
        <w:rPr>
          <w:rFonts w:ascii="Garamond" w:cs="Garamond" w:eastAsia="Garamond" w:hAnsi="Garamond"/>
          <w:b/>
          <w:bCs/>
          <w:i w:val="false"/>
          <w:iCs w:val="false"/>
          <w:color w:val="1B2A4A"/>
          <w:sz w:val="22"/>
          <w:szCs w:val="22"/>
        </w:rPr>
        <w:t xml:space="preserve">Unresolvable and Security Cases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SC review.</w:t>
      </w:r>
    </w:p>
    <w:p>
      <w:pPr>
        <w:spacing w:after="60" w:before="200"/>
        <w:ind w:left="431"/>
        <w:jc w:val="left"/>
      </w:pPr>
      <w:r>
        <w:rPr>
          <w:rFonts w:ascii="Courier New" w:cs="Courier New" w:eastAsia="Courier New" w:hAnsi="Courier New"/>
          <w:b/>
          <w:bCs/>
          <w:color w:val="1B2A4A"/>
          <w:sz w:val="18"/>
          <w:szCs w:val="18"/>
        </w:rPr>
        <w:t xml:space="preserve">§6.3.c  </w:t>
      </w:r>
      <w:r>
        <w:rPr>
          <w:rFonts w:ascii="Garamond" w:cs="Garamond" w:eastAsia="Garamond" w:hAnsi="Garamond"/>
          <w:b/>
          <w:bCs/>
          <w:i w:val="false"/>
          <w:iCs w:val="false"/>
          <w:color w:val="1B2A4A"/>
          <w:sz w:val="22"/>
          <w:szCs w:val="22"/>
        </w:rPr>
        <w:t xml:space="preserve">Unaccompanied Minors</w:t>
      </w:r>
    </w:p>
    <w:p>
      <w:pPr>
        <w:spacing w:after="120" w:before="0"/>
        <w:ind w:left="431"/>
        <w:jc w:val="both"/>
      </w:pPr>
      <w:r>
        <w:rPr>
          <w:rFonts w:ascii="Garamond" w:cs="Garamond" w:eastAsia="Garamond" w:hAnsi="Garamond"/>
          <w:b w:val="false"/>
          <w:bCs w:val="false"/>
          <w:i w:val="false"/>
          <w:iCs w:val="false"/>
          <w:color w:val="2a2520"/>
          <w:sz w:val="22"/>
          <w:szCs w:val="22"/>
        </w:rPr>
        <w:t xml:space="preserve">An unaccompanied minor arriving in the Republic is an 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pPr>
        <w:spacing w:after="60" w:before="200"/>
        <w:jc w:val="left"/>
      </w:pPr>
      <w:r>
        <w:rPr>
          <w:rFonts w:ascii="Garamond" w:cs="Garamond" w:eastAsia="Garamond" w:hAnsi="Garamond"/>
          <w:b/>
          <w:bCs/>
          <w:i w:val="false"/>
          <w:iCs w:val="false"/>
          <w:color w:val="1B2A4A"/>
          <w:sz w:val="34"/>
          <w:szCs w:val="34"/>
        </w:rPr>
        <w:t xml:space="preserve">Article VII — Elections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§7.1  </w:t>
      </w:r>
      <w:r>
        <w:rPr>
          <w:rFonts w:ascii="Garamond" w:cs="Garamond" w:eastAsia="Garamond" w:hAnsi="Garamond"/>
          <w:b/>
          <w:bCs/>
          <w:i w:val="false"/>
          <w:iCs w:val="false"/>
          <w:color w:val="1B2A4A"/>
          <w:sz w:val="22"/>
          <w:szCs w:val="22"/>
        </w:rPr>
        <w:t xml:space="preserve">The Right to Vote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eligible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pPr>
        <w:spacing w:after="60" w:before="200"/>
        <w:ind w:left="431"/>
        <w:jc w:val="left"/>
      </w:pPr>
      <w:r>
        <w:rPr>
          <w:rFonts w:ascii="Courier New" w:cs="Courier New" w:eastAsia="Courier New" w:hAnsi="Courier New"/>
          <w:b/>
          <w:bCs/>
          <w:color w:val="1B2A4A"/>
          <w:sz w:val="18"/>
          <w:szCs w:val="18"/>
        </w:rPr>
        <w:t xml:space="preserve">§7.2  </w:t>
      </w:r>
      <w:r>
        <w:rPr>
          <w:rFonts w:ascii="Garamond" w:cs="Garamond" w:eastAsia="Garamond" w:hAnsi="Garamond"/>
          <w:b/>
          <w:bCs/>
          <w:i w:val="false"/>
          <w:iCs w:val="false"/>
          <w:color w:val="1B2A4A"/>
          <w:sz w:val="22"/>
          <w:szCs w:val="22"/>
        </w:rPr>
        <w:t xml:space="preserve">Consular Election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is elected through two concurrent requirements: a national RCV majority and a State plurality qualification. A candidate wins outright by satisfying both. Where a candidate's national RCV majority reaches or exceeds 60% of active ballots,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w:t>
      </w:r>
    </w:p>
    <w:p>
      <w:pPr>
        <w:spacing w:after="60" w:before="200"/>
        <w:ind w:left="431"/>
        <w:jc w:val="left"/>
      </w:pPr>
      <w:r>
        <w:rPr>
          <w:rFonts w:ascii="Courier New" w:cs="Courier New" w:eastAsia="Courier New" w:hAnsi="Courier New"/>
          <w:b/>
          <w:bCs/>
          <w:color w:val="1B2A4A"/>
          <w:sz w:val="18"/>
          <w:szCs w:val="18"/>
        </w:rPr>
        <w:t xml:space="preserve">§7.2.a  </w:t>
      </w:r>
      <w:r>
        <w:rPr>
          <w:rFonts w:ascii="Garamond" w:cs="Garamond" w:eastAsia="Garamond" w:hAnsi="Garamond"/>
          <w:b/>
          <w:bCs/>
          <w:i w:val="false"/>
          <w:iCs w:val="false"/>
          <w:color w:val="1B2A4A"/>
          <w:sz w:val="22"/>
          <w:szCs w:val="22"/>
        </w:rPr>
        <w:t xml:space="preserve">State Plurality Requirement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 </w:t>
      </w:r>
    </w:p>
    <w:p>
      <w:pPr>
        <w:spacing w:after="60" w:before="200"/>
        <w:ind w:left="431"/>
        <w:jc w:val="left"/>
      </w:pPr>
      <w:r>
        <w:rPr>
          <w:rFonts w:ascii="Courier New" w:cs="Courier New" w:eastAsia="Courier New" w:hAnsi="Courier New"/>
          <w:b/>
          <w:bCs/>
          <w:color w:val="1B2A4A"/>
          <w:sz w:val="18"/>
          <w:szCs w:val="18"/>
        </w:rPr>
        <w:t xml:space="preserve">§7.3  </w:t>
      </w:r>
      <w:r>
        <w:rPr>
          <w:rFonts w:ascii="Garamond" w:cs="Garamond" w:eastAsia="Garamond" w:hAnsi="Garamond"/>
          <w:b/>
          <w:bCs/>
          <w:i w:val="false"/>
          <w:iCs w:val="false"/>
          <w:color w:val="1B2A4A"/>
          <w:sz w:val="22"/>
          <w:szCs w:val="22"/>
        </w:rPr>
        <w:t xml:space="preserve">Federal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All federal elections, referenda, and confirmation votes are administered by the Elections Panel using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its constitutional standards. 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if it disputes the Elections Panel’s finding; the SC must rule within 7 days. No further postponement may be granted without a new Elections Panel finding of impossibility and a new 2/3 legislative determination.</w:t>
      </w:r>
    </w:p>
    <w:p>
      <w:pPr>
        <w:spacing w:after="60" w:before="200"/>
        <w:jc w:val="left"/>
      </w:pPr>
      <w:r>
        <w:rPr>
          <w:rFonts w:ascii="Garamond" w:cs="Garamond" w:eastAsia="Garamond" w:hAnsi="Garamond"/>
          <w:b/>
          <w:bCs/>
          <w:i w:val="false"/>
          <w:iCs w:val="false"/>
          <w:color w:val="1B2A4A"/>
          <w:sz w:val="34"/>
          <w:szCs w:val="34"/>
        </w:rPr>
        <w:t xml:space="preserve">Article VIII — Electoral Finance and Campaign Conduct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§8.1  </w:t>
      </w:r>
      <w:r>
        <w:rPr>
          <w:rFonts w:ascii="Garamond" w:cs="Garamond" w:eastAsia="Garamond" w:hAnsi="Garamond"/>
          <w:b/>
          <w:bCs/>
          <w:i w:val="false"/>
          <w:iCs w:val="false"/>
          <w:color w:val="1B2A4A"/>
          <w:sz w:val="22"/>
          <w:szCs w:val="22"/>
        </w:rPr>
        <w:t xml:space="preserve">Electoral Finance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Electoral finance is regulated to prevent structural distortion of democratic accountability through concentrated financial influence. 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pPr>
        <w:spacing w:after="60" w:before="200"/>
        <w:ind w:left="431"/>
        <w:jc w:val="left"/>
      </w:pPr>
      <w:r>
        <w:rPr>
          <w:rFonts w:ascii="Courier New" w:cs="Courier New" w:eastAsia="Courier New" w:hAnsi="Courier New"/>
          <w:b/>
          <w:bCs/>
          <w:color w:val="1B2A4A"/>
          <w:sz w:val="18"/>
          <w:szCs w:val="18"/>
        </w:rPr>
        <w:t xml:space="preserve">§8.2  </w:t>
      </w:r>
      <w:r>
        <w:rPr>
          <w:rFonts w:ascii="Garamond" w:cs="Garamond" w:eastAsia="Garamond" w:hAnsi="Garamond"/>
          <w:b/>
          <w:bCs/>
          <w:i w:val="false"/>
          <w:iCs w:val="false"/>
          <w:color w:val="1B2A4A"/>
          <w:sz w:val="22"/>
          <w:szCs w:val="22"/>
        </w:rPr>
        <w:t xml:space="preserve">Campaign Conduct</w:t>
      </w:r>
    </w:p>
    <w:p>
      <w:pPr>
        <w:spacing w:after="120" w:before="0"/>
        <w:ind w:left="431"/>
        <w:jc w:val="both"/>
      </w:pPr>
      <w:r>
        <w:rPr>
          <w:rFonts w:ascii="Garamond" w:cs="Garamond" w:eastAsia="Garamond" w:hAnsi="Garamond"/>
          <w:b w:val="false"/>
          <w:bCs w:val="false"/>
          <w:i w:val="false"/>
          <w:iCs w:val="false"/>
          <w:color w:val="2a2520"/>
          <w:sz w:val="22"/>
          <w:szCs w:val="22"/>
        </w:rPr>
        <w:t xml:space="preserve">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Characterization, emphasis, and contextual framing of voting records are protected expression. Campaign communications must clearly identify their sponsor. Fabricated or deceptively edited communications about other candidates are a constitutional violation; the Elections Panel publishes findings of violation to the NRS and candidates found in violation are subject to sanctions defined by statute.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pPr>
        <w:spacing w:after="60" w:before="200"/>
        <w:ind w:left="431"/>
        <w:jc w:val="left"/>
      </w:pPr>
      <w:r>
        <w:rPr>
          <w:rFonts w:ascii="Courier New" w:cs="Courier New" w:eastAsia="Courier New" w:hAnsi="Courier New"/>
          <w:b/>
          <w:bCs/>
          <w:color w:val="1B2A4A"/>
          <w:sz w:val="18"/>
          <w:szCs w:val="18"/>
        </w:rPr>
        <w:t xml:space="preserve">§8.3  </w:t>
      </w:r>
      <w:r>
        <w:rPr>
          <w:rFonts w:ascii="Garamond" w:cs="Garamond" w:eastAsia="Garamond" w:hAnsi="Garamond"/>
          <w:b/>
          <w:bCs/>
          <w:i w:val="false"/>
          <w:iCs w:val="false"/>
          <w:color w:val="1B2A4A"/>
          <w:sz w:val="22"/>
          <w:szCs w:val="22"/>
        </w:rPr>
        <w:t xml:space="preserve">Public Campaign Financing</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a publicly funded campaign financing system as an alternative to private fundraising. The system provides all registered candidates with equal baseline funding; no allocation may advantage incumbents or established political organizations. Candidates who accept public financing are subject to spending limits defined by statute. The Legislature may create a matching funds component amplifying small donations; matching thresholds, caps, and ratios must apply equally to all participating candidates. The Elections Panel administers disbursement and audits all campaign finance records within the period defined by statute following any election, not to exceed 90 days. Candidates who receive impermissible contributions must promptly report them and either return them to the contributor or remit them to the public campaign financing fund; the Legislature defines reporting timelines and procedures by statute.</w:t>
      </w:r>
    </w:p>
    <w:p>
      <w:pPr>
        <w:spacing w:after="60" w:before="200"/>
        <w:jc w:val="left"/>
      </w:pPr>
      <w:r>
        <w:rPr>
          <w:rFonts w:ascii="Garamond" w:cs="Garamond" w:eastAsia="Garamond" w:hAnsi="Garamond"/>
          <w:b/>
          <w:bCs/>
          <w:i w:val="false"/>
          <w:iCs w:val="false"/>
          <w:color w:val="1B2A4A"/>
          <w:sz w:val="34"/>
          <w:szCs w:val="34"/>
        </w:rPr>
        <w:t xml:space="preserve">Article IX — The Monitors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§9.1  </w:t>
      </w:r>
      <w:r>
        <w:rPr>
          <w:rFonts w:ascii="Garamond" w:cs="Garamond" w:eastAsia="Garamond" w:hAnsi="Garamond"/>
          <w:b/>
          <w:bCs/>
          <w:i w:val="false"/>
          <w:iCs w:val="false"/>
          <w:color w:val="1B2A4A"/>
          <w:sz w:val="22"/>
          <w:szCs w:val="22"/>
        </w:rPr>
        <w:t xml:space="preserve">Three Monitors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three constitutionally independent Monitors — Legislative (LM), Executive (EM), and Judicial (JM) — each selected by bodies other than those it oversees. The Monitors hold an information-only mandate: they publish findings but do not issue binding orders. Each Monitor General serves a 10-year non-renewable term with a constitutionally protected funding floor. Failure of a Monitor to act does not extinguish constitutional authority or suspend any constitutional obligation, unless this Constitution explicitly provides otherwise. The Monitors are the Republic's independent auditors. Their mandate is to observe constitutional processes, verify factual and legal compliance, and publish expert findings to the NRS. Monitor findings carry the authority of expert analysis — available to any party, given due weight, and not binding on any constitutional actor. No Monitor finding or assessment is a prerequisite for any legal proceeding, constitutional mechanism, or governmental function. Any constitutional officer, chamber, or body may request a focused assessment from any Monitor within that Monitor’s audit mandate, specifying a date by which the assessment is required. The Monitor publishes the assessment by the requested date where practicable; where this is not practicable, the Monitor publishes the reason and an estimated completion date within five days of receiving the request. Persistent non-responsiveness to reasonable requests may be published by the other two Monitors as a non-responsiveness finding to the NRS. A requesting party may proceed with any constitutional process whether or not a requested assessment has been published.</w:t>
      </w:r>
    </w:p>
    <w:p>
      <w:pPr>
        <w:spacing w:after="60" w:before="200"/>
        <w:ind w:left="431"/>
        <w:jc w:val="left"/>
      </w:pPr>
      <w:r>
        <w:rPr>
          <w:rFonts w:ascii="Courier New" w:cs="Courier New" w:eastAsia="Courier New" w:hAnsi="Courier New"/>
          <w:b/>
          <w:bCs/>
          <w:color w:val="1B2A4A"/>
          <w:sz w:val="18"/>
          <w:szCs w:val="18"/>
        </w:rPr>
        <w:t xml:space="preserve">§9.1.a  </w:t>
      </w:r>
      <w:r>
        <w:rPr>
          <w:rFonts w:ascii="Garamond" w:cs="Garamond" w:eastAsia="Garamond" w:hAnsi="Garamond"/>
          <w:b/>
          <w:bCs/>
          <w:i w:val="false"/>
          <w:iCs w:val="false"/>
          <w:color w:val="1B2A4A"/>
          <w:sz w:val="22"/>
          <w:szCs w:val="22"/>
        </w:rPr>
        <w:t xml:space="preserve">The Legislative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pPr>
        <w:spacing w:after="60" w:before="200"/>
        <w:ind w:left="431"/>
        <w:jc w:val="left"/>
      </w:pPr>
      <w:r>
        <w:rPr>
          <w:rFonts w:ascii="Courier New" w:cs="Courier New" w:eastAsia="Courier New" w:hAnsi="Courier New"/>
          <w:b/>
          <w:bCs/>
          <w:color w:val="1B2A4A"/>
          <w:sz w:val="18"/>
          <w:szCs w:val="18"/>
        </w:rPr>
        <w:t xml:space="preserve">§9.1.b  </w:t>
      </w:r>
      <w:r>
        <w:rPr>
          <w:rFonts w:ascii="Garamond" w:cs="Garamond" w:eastAsia="Garamond" w:hAnsi="Garamond"/>
          <w:b/>
          <w:bCs/>
          <w:i w:val="false"/>
          <w:iCs w:val="false"/>
          <w:color w:val="1B2A4A"/>
          <w:sz w:val="22"/>
          <w:szCs w:val="22"/>
        </w:rPr>
        <w:t xml:space="preserve">The Executive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EM audits both executives and the Monetary Authority. Annual responsibilities include: military compliance assessment covering whether tier authorizations were followed, whether the §2.3 intelligence warrant requirement was maintained, and whether fund certifications were observed,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pPr>
        <w:spacing w:after="60" w:before="200"/>
        <w:ind w:left="431"/>
        <w:jc w:val="left"/>
      </w:pPr>
      <w:r>
        <w:rPr>
          <w:rFonts w:ascii="Courier New" w:cs="Courier New" w:eastAsia="Courier New" w:hAnsi="Courier New"/>
          <w:b/>
          <w:bCs/>
          <w:color w:val="1B2A4A"/>
          <w:sz w:val="18"/>
          <w:szCs w:val="18"/>
        </w:rPr>
        <w:t xml:space="preserve">§9.1.c  </w:t>
      </w:r>
      <w:r>
        <w:rPr>
          <w:rFonts w:ascii="Garamond" w:cs="Garamond" w:eastAsia="Garamond" w:hAnsi="Garamond"/>
          <w:b/>
          <w:bCs/>
          <w:i w:val="false"/>
          <w:iCs w:val="false"/>
          <w:color w:val="1B2A4A"/>
          <w:sz w:val="22"/>
          <w:szCs w:val="22"/>
        </w:rPr>
        <w:t xml:space="preserve">The Judicial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JM audits the courts for judicial scope and independence, and conducts annual audits of the Elections Panel for electoral integrity compliance, including the administration of the Judicial Pool and all constitutional pools. The JM reviews accommodation compact compliance, Associated Community compact compliance under Article XX, and Article XVI indigenous compact obligations. The JM's mandate is procedural neutrality: ensuring that all functions requiring independence from political bias are conducted under an impartial constitutional authority. The JM's lottery-based selection makes it the appropriate body to administer all constitutional lottery draws and candidate certification functions throughout the Republic.</w:t>
      </w:r>
    </w:p>
    <w:p>
      <w:pPr>
        <w:spacing w:after="60" w:before="200"/>
        <w:ind w:left="431"/>
        <w:jc w:val="left"/>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Monitor General Term Expiry and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The Acting Monitor General holds full constitutional authority of the office. The Acting Monitor General is not eligible for permanent appointment to the position in which they serve; upon 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pPr>
        <w:spacing w:after="60" w:before="200"/>
        <w:ind w:left="431"/>
        <w:jc w:val="left"/>
      </w:pPr>
      <w:r>
        <w:rPr>
          <w:rFonts w:ascii="Courier New" w:cs="Courier New" w:eastAsia="Courier New" w:hAnsi="Courier New"/>
          <w:b/>
          <w:bCs/>
          <w:color w:val="1B2A4A"/>
          <w:sz w:val="18"/>
          <w:szCs w:val="18"/>
        </w:rPr>
        <w:t xml:space="preserve">§9.2  </w:t>
      </w:r>
      <w:r>
        <w:rPr>
          <w:rFonts w:ascii="Garamond" w:cs="Garamond" w:eastAsia="Garamond" w:hAnsi="Garamond"/>
          <w:b/>
          <w:bCs/>
          <w:i w:val="false"/>
          <w:iCs w:val="false"/>
          <w:color w:val="1B2A4A"/>
          <w:sz w:val="22"/>
          <w:szCs w:val="22"/>
        </w:rPr>
        <w:t xml:space="preserve">Selection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Monitor is constituted through a process that structurally excludes the body being watched from selecting its watchers. The SC nominates the LM Monitor General, confirmed by national popular vote — the Legislature and both executives are entirely excluded. The Assembly Speaker and Senate Speaker jointly nominate the EM Monitor General, confirmed by national popular vote with JM audit findings on the nominee’s disclosure record published to the NRS before the vote — the executives are excluded and neither Speaker can act alone. The JM Monitor General is selected by public lottery from a pool of former judges audited by the LM and EM — the JM has no role in constituting or certifying its own candidate pool.</w:t>
      </w:r>
    </w:p>
    <w:p>
      <w:pPr>
        <w:spacing w:after="60" w:before="200"/>
        <w:ind w:left="431"/>
        <w:jc w:val="left"/>
      </w:pPr>
      <w:r>
        <w:rPr>
          <w:rFonts w:ascii="Courier New" w:cs="Courier New" w:eastAsia="Courier New" w:hAnsi="Courier New"/>
          <w:b/>
          <w:bCs/>
          <w:color w:val="1B2A4A"/>
          <w:sz w:val="18"/>
          <w:szCs w:val="18"/>
        </w:rPr>
        <w:t xml:space="preserve">§9.3  </w:t>
      </w:r>
      <w:r>
        <w:rPr>
          <w:rFonts w:ascii="Garamond" w:cs="Garamond" w:eastAsia="Garamond" w:hAnsi="Garamond"/>
          <w:b/>
          <w:bCs/>
          <w:i w:val="false"/>
          <w:iCs w:val="false"/>
          <w:color w:val="1B2A4A"/>
          <w:sz w:val="22"/>
          <w:szCs w:val="22"/>
        </w:rPr>
        <w:t xml:space="preserve">Monitor General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LM Monitor General is nominated by the SC from a pool of qualified candidates maintained by the Elections Panel and audited jointly by the EM and JM, sufficiently in advance under the timeline defined by statute to ensure confirmation is complete before the transition under §3.13; confirmed by national popular vote at the next federal electoral period following nomination, by simple majority of votes cast. The confirmed successor assumes full Monitor General authority at the precise moment the incumbent’s term concludes under §3.13. If the confirmation vote fails, the §9.1.d acting mechanism activates and the SC initiates a new nomination from the pool within 60 days. The EM Monitor General is nominated jointly by the Assembly Speaker and Senate Speaker from a pool of qualified candidates maintained by the Elections Panel and audited jointly by the LM and JM, sufficiently in advance under the timeline defined by statute under §3.13; confirmed by national popular vote at the next federal electoral period following nomination, by simple majority of votes cast, with JM audit findings on the nominee’s disclosure record published to the NRS before the vote. The same timing and failed-vote provisions apply. Where the Assembly Speaker and Senate Speaker fail to jointly nominate within 60 days of a vacancy being published to the NRS, the Senate selects a nominee from the pool directly by 2/3 vote of full seated membership; the selected nominee proceeds to national popular vote confirmation on the same terms; the executives remain excluded from nomination under both paths. The JM Monitor General is selected by public lottery under §9.12 from the JM Candidate Pool under §9.4.a maintained by the Elections Panel, conducted at the statutory timeline under §3.13, sufficiently in advance to ensure seamless succession. The lottery-selected candidate is confirmed by national popular vote at the next federal electoral period following the draw, by simple majority of votes cast; the confirmed candidate assumes office at the precise moment the incumbent’s term concludes under §3.13. If the confirmation vote fails, the §9.1.d acting mechanism activates and the JMC conducts a new lottery from the pool within 60 days; the same confirmation process applies to the new selection. All Monitor Generals serve 10-year non-renewable terms. No two Monitor General terms may begin within 18 months of each other, ensuring continuous institutional knowledge across offices. The Elections Panel administers all Monitor General confirmation votes as part of the regular federal electoral period ballot.</w:t>
      </w:r>
    </w:p>
    <w:p>
      <w:pPr>
        <w:spacing w:after="60" w:before="200"/>
        <w:ind w:left="431"/>
        <w:jc w:val="left"/>
      </w:pPr>
      <w:r>
        <w:rPr>
          <w:rFonts w:ascii="Courier New" w:cs="Courier New" w:eastAsia="Courier New" w:hAnsi="Courier New"/>
          <w:b/>
          <w:bCs/>
          <w:color w:val="1B2A4A"/>
          <w:sz w:val="18"/>
          <w:szCs w:val="18"/>
        </w:rPr>
        <w:t xml:space="preserve">§9.4  </w:t>
      </w:r>
      <w:r>
        <w:rPr>
          <w:rFonts w:ascii="Garamond" w:cs="Garamond" w:eastAsia="Garamond" w:hAnsi="Garamond"/>
          <w:b/>
          <w:bCs/>
          <w:i w:val="false"/>
          <w:iCs w:val="false"/>
          <w:color w:val="1B2A4A"/>
          <w:sz w:val="22"/>
          <w:szCs w:val="22"/>
        </w:rPr>
        <w:t xml:space="preserve">Judicial Monitor Audit and Lottery Administration Mandate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w:t>
      </w:r>
    </w:p>
    <w:p>
      <w:pPr>
        <w:spacing w:after="60" w:before="200"/>
        <w:ind w:left="431"/>
        <w:jc w:val="left"/>
      </w:pPr>
      <w:r>
        <w:rPr>
          <w:rFonts w:ascii="Courier New" w:cs="Courier New" w:eastAsia="Courier New" w:hAnsi="Courier New"/>
          <w:b/>
          <w:bCs/>
          <w:color w:val="1B2A4A"/>
          <w:sz w:val="18"/>
          <w:szCs w:val="18"/>
        </w:rPr>
        <w:t xml:space="preserve">§9.4.a  </w:t>
      </w:r>
      <w:r>
        <w:rPr>
          <w:rFonts w:ascii="Garamond" w:cs="Garamond" w:eastAsia="Garamond" w:hAnsi="Garamond"/>
          <w:b/>
          <w:bCs/>
          <w:i w:val="false"/>
          <w:iCs w:val="false"/>
          <w:color w:val="1B2A4A"/>
          <w:sz w:val="22"/>
          <w:szCs w:val="22"/>
        </w:rPr>
        <w:t xml:space="preserve">Judicial Monitor General Candidate Pool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Joint Monitor Council conducts the lottery from the pool in a public session; the outgoing JM Monitor General does not participate. The pool is publicly accessible at all times.</w:t>
      </w:r>
    </w:p>
    <w:p>
      <w:pPr>
        <w:spacing w:after="60" w:before="200"/>
        <w:ind w:left="431"/>
        <w:jc w:val="left"/>
      </w:pPr>
      <w:r>
        <w:rPr>
          <w:rFonts w:ascii="Courier New" w:cs="Courier New" w:eastAsia="Courier New" w:hAnsi="Courier New"/>
          <w:b/>
          <w:bCs/>
          <w:color w:val="1B2A4A"/>
          <w:sz w:val="18"/>
          <w:szCs w:val="18"/>
        </w:rPr>
        <w:t xml:space="preserve">§9.4.b  </w:t>
      </w:r>
      <w:r>
        <w:rPr>
          <w:rFonts w:ascii="Garamond" w:cs="Garamond" w:eastAsia="Garamond" w:hAnsi="Garamond"/>
          <w:b/>
          <w:bCs/>
          <w:i w:val="false"/>
          <w:iCs w:val="false"/>
          <w:color w:val="1B2A4A"/>
          <w:sz w:val="22"/>
          <w:szCs w:val="22"/>
        </w:rPr>
        <w:t xml:space="preserve">Supreme Court Candidate Registry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the standing Judicial Pool. Any citizen meeting the eligibility criteria — at least 15 years of legal practice or 10 years of judicial service, no current government position, no disqualifying financial interest — may apply directly to the Elections Panel. The Elections Panel applies the stated eligibility criteria and enters qualifying applicants into the registry.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Registry is publicly accessible on the NRS at all times.</w:t>
      </w:r>
    </w:p>
    <w:p>
      <w:pPr>
        <w:spacing w:after="60" w:before="200"/>
        <w:ind w:left="431"/>
        <w:jc w:val="left"/>
      </w:pPr>
      <w:r>
        <w:rPr>
          <w:rFonts w:ascii="Courier New" w:cs="Courier New" w:eastAsia="Courier New" w:hAnsi="Courier New"/>
          <w:b/>
          <w:bCs/>
          <w:color w:val="1B2A4A"/>
          <w:sz w:val="18"/>
          <w:szCs w:val="18"/>
        </w:rPr>
        <w:t xml:space="preserve">§9.5  </w:t>
      </w:r>
      <w:r>
        <w:rPr>
          <w:rFonts w:ascii="Garamond" w:cs="Garamond" w:eastAsia="Garamond" w:hAnsi="Garamond"/>
          <w:b/>
          <w:bCs/>
          <w:i w:val="false"/>
          <w:iCs w:val="false"/>
          <w:color w:val="1B2A4A"/>
          <w:sz w:val="22"/>
          <w:szCs w:val="22"/>
        </w:rPr>
        <w:t xml:space="preserve">Monitor General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For-cause removal of any Monitor General follows §9.14 Standard Track. The Judicial Track under §9.14 is additionally available where two of the three Monitors jointly assess and report for-cause grounds.</w:t>
      </w:r>
    </w:p>
    <w:p>
      <w:pPr>
        <w:spacing w:after="60" w:before="200"/>
        <w:ind w:left="431"/>
        <w:jc w:val="left"/>
      </w:pPr>
      <w:r>
        <w:rPr>
          <w:rFonts w:ascii="Courier New" w:cs="Courier New" w:eastAsia="Courier New" w:hAnsi="Courier New"/>
          <w:b/>
          <w:bCs/>
          <w:color w:val="1B2A4A"/>
          <w:sz w:val="18"/>
          <w:szCs w:val="18"/>
        </w:rPr>
        <w:t xml:space="preserve">§9.6  </w:t>
      </w:r>
      <w:r>
        <w:rPr>
          <w:rFonts w:ascii="Garamond" w:cs="Garamond" w:eastAsia="Garamond" w:hAnsi="Garamond"/>
          <w:b/>
          <w:bCs/>
          <w:i w:val="false"/>
          <w:iCs w:val="false"/>
          <w:color w:val="1B2A4A"/>
          <w:sz w:val="22"/>
          <w:szCs w:val="22"/>
        </w:rPr>
        <w:t xml:space="preserve">Monitor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pPr>
        <w:spacing w:after="120" w:before="0"/>
        <w:ind w:left="431"/>
        <w:jc w:val="both"/>
      </w:pPr>
      <w:r>
        <w:rPr>
          <w:rFonts w:ascii="Garamond" w:cs="Garamond" w:eastAsia="Garamond" w:hAnsi="Garamond"/>
          <w:b w:val="false"/>
          <w:bCs w:val="false"/>
          <w:i w:val="false"/>
          <w:iCs w:val="false"/>
          <w:color w:val="2a2520"/>
          <w:sz w:val="22"/>
          <w:szCs w:val="22"/>
        </w:rPr>
        <w:t xml:space="preserve"/>
      </w:r>
    </w:p>
    <w:p>
      <w:pPr>
        <w:spacing w:after="60" w:before="200"/>
        <w:ind w:left="431"/>
        <w:jc w:val="left"/>
      </w:pPr>
      <w:r>
        <w:rPr>
          <w:rFonts w:ascii="Courier New" w:cs="Courier New" w:eastAsia="Courier New" w:hAnsi="Courier New"/>
          <w:b/>
          <w:bCs/>
          <w:color w:val="1B2A4A"/>
          <w:sz w:val="18"/>
          <w:szCs w:val="18"/>
        </w:rPr>
        <w:t xml:space="preserve">§9.9  </w:t>
      </w:r>
      <w:r>
        <w:rPr>
          <w:rFonts w:ascii="Garamond" w:cs="Garamond" w:eastAsia="Garamond" w:hAnsi="Garamond"/>
          <w:b/>
          <w:bCs/>
          <w:i w:val="false"/>
          <w:iCs w:val="false"/>
          <w:color w:val="1B2A4A"/>
          <w:sz w:val="22"/>
          <w:szCs w:val="22"/>
        </w:rPr>
        <w:t xml:space="preserve">Removal Grounds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To initiate a standard track removal vote under §9.14, the charging party — a concurrent resolution of 1/3 of either chamber, or two of the three Monitors jointly — must file stated grounds with the SC. The SC determines within 14 days whether the stated grounds constitute at least one statutory removal category for the subject office as defined by the Legislature. If grounds are confirmed, duty suspension activates immediately and the Legislature may proceed to a removal vote. If grounds are not confirmed: the process closes and may not be reinitiated on the same or substantially similar grounds within six months. The SC reviews constitutional category only — it does not assess the factual merits or credibility of the underlying allegations. No per-proceeding panel is required; the SC performs this function directly. The Legislature defines the enumerated removal categories for each constitutionally confirmed office by statute; no removal vote may proceed without the SC’s categorical confirmation under this section. Where the SC fails to publish its determination within 14 days, the stated grounds are deemed confirmed by constitutional operation and duty suspension activates immediately; the Legislature may proceed to a removal vote as if grounds had been confirmed.</w:t>
      </w:r>
    </w:p>
    <w:p>
      <w:pPr>
        <w:spacing w:after="60" w:before="200"/>
        <w:ind w:left="431"/>
        <w:jc w:val="left"/>
      </w:pPr>
      <w:r>
        <w:rPr>
          <w:rFonts w:ascii="Courier New" w:cs="Courier New" w:eastAsia="Courier New" w:hAnsi="Courier New"/>
          <w:b/>
          <w:bCs/>
          <w:color w:val="1B2A4A"/>
          <w:sz w:val="18"/>
          <w:szCs w:val="18"/>
        </w:rPr>
        <w:t xml:space="preserve">§9.10  </w:t>
      </w:r>
      <w:r>
        <w:rPr>
          <w:rFonts w:ascii="Garamond" w:cs="Garamond" w:eastAsia="Garamond" w:hAnsi="Garamond"/>
          <w:b/>
          <w:bCs/>
          <w:i w:val="false"/>
          <w:iCs w:val="false"/>
          <w:color w:val="1B2A4A"/>
          <w:sz w:val="22"/>
          <w:szCs w:val="22"/>
        </w:rPr>
        <w:t xml:space="preserve">Monitor Minimum Funding Guarantee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pPr>
        <w:spacing w:after="60" w:before="200"/>
        <w:ind w:left="431"/>
        <w:jc w:val="left"/>
      </w:pPr>
      <w:r>
        <w:rPr>
          <w:rFonts w:ascii="Courier New" w:cs="Courier New" w:eastAsia="Courier New" w:hAnsi="Courier New"/>
          <w:b/>
          <w:bCs/>
          <w:color w:val="1B2A4A"/>
          <w:sz w:val="18"/>
          <w:szCs w:val="18"/>
        </w:rPr>
        <w:t xml:space="preserve">§9.11  </w:t>
      </w:r>
      <w:r>
        <w:rPr>
          <w:rFonts w:ascii="Garamond" w:cs="Garamond" w:eastAsia="Garamond" w:hAnsi="Garamond"/>
          <w:b/>
          <w:bCs/>
          <w:i w:val="false"/>
          <w:iCs w:val="false"/>
          <w:color w:val="1B2A4A"/>
          <w:sz w:val="22"/>
          <w:szCs w:val="22"/>
        </w:rPr>
        <w:t xml:space="preserve">Joint Monitor Council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pPr>
        <w:spacing w:after="60" w:before="200"/>
        <w:ind w:left="431"/>
        <w:jc w:val="left"/>
      </w:pPr>
      <w:r>
        <w:rPr>
          <w:rFonts w:ascii="Courier New" w:cs="Courier New" w:eastAsia="Courier New" w:hAnsi="Courier New"/>
          <w:b/>
          <w:bCs/>
          <w:color w:val="1B2A4A"/>
          <w:sz w:val="18"/>
          <w:szCs w:val="18"/>
        </w:rPr>
        <w:t xml:space="preserve">§9.11.a  </w:t>
      </w:r>
      <w:r>
        <w:rPr>
          <w:rFonts w:ascii="Garamond" w:cs="Garamond" w:eastAsia="Garamond" w:hAnsi="Garamond"/>
          <w:b/>
          <w:bCs/>
          <w:color w:val="1B2A4A"/>
          <w:sz w:val="22"/>
          <w:szCs w:val="22"/>
        </w:rPr>
        <w:t xml:space="preserve">Institutional Compromise Protocol</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two of the three Monitors jointly assess and report that the third is operating in demonstrable bad faith, they petition the SC directly for confirmation of the finding; the SC rules within 14 days. Upon filing the petition, the two petitioning Monitors jointly designate an Acting Monitor General as the longest-tenured member of the affected Monitor’s candidate pool who accepts the designation; both executives are notified immediately. The Acting Monitor General assumes all constitutional functions of the compromised Monitor from the moment of designation. If the SC does not confirm the finding, the Acting Monitor General stands down and all functions return immediately to the original Monitor General.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pPr>
        <w:spacing w:after="60" w:before="200"/>
        <w:ind w:left="431"/>
        <w:jc w:val="left"/>
      </w:pPr>
      <w:r>
        <w:rPr>
          <w:rFonts w:ascii="Courier New" w:cs="Courier New" w:eastAsia="Courier New" w:hAnsi="Courier New"/>
          <w:b/>
          <w:bCs/>
          <w:color w:val="1B2A4A"/>
          <w:sz w:val="18"/>
          <w:szCs w:val="18"/>
        </w:rPr>
        <w:t xml:space="preserve">§9.12  </w:t>
      </w:r>
      <w:r>
        <w:rPr>
          <w:rFonts w:ascii="Garamond" w:cs="Garamond" w:eastAsia="Garamond" w:hAnsi="Garamond"/>
          <w:b/>
          <w:bCs/>
          <w:i w:val="false"/>
          <w:iCs w:val="false"/>
          <w:color w:val="1B2A4A"/>
          <w:sz w:val="22"/>
          <w:szCs w:val="22"/>
        </w:rPr>
        <w:t xml:space="preserve">Constitutional Pool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all constitutional candidate registries and pools as the administrative keeper of record. The Elections Panel receives applications, stores records, provides public access via the NRS, and enters qualifying applicants into the relevant registry or pool by applying the published qualification requirements. The relevant Monitor’s ongoing audit encompasses the Elections Panel’s administration of each pool and registry; audit findings are published to the NRS. Any applicant excluded may appeal to the SC within 14 days on the sole ground that the qualification requirements were misapplied. Pool records and audit findings are public NRS records at all times. The Joint Monitor Council conducts the draw in a public session, certifies the result jointly, and publishes it to the NRS. Where selection is by deliberate nomination, the named officer nominates from pool members. Where confirmation is required, the Senate must act within the period defined by the establishing provision; failure to confirm within that period is a constitutional compliance breach. The JM monitors all constitutional pools annually and publishes a status report.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and a designation is made under the ordinary acting mechanism; this fallback applies only to judicial and Monitor pools.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§9.13  </w:t>
      </w:r>
      <w:r>
        <w:rPr>
          <w:rFonts w:ascii="Garamond" w:cs="Garamond" w:eastAsia="Garamond" w:hAnsi="Garamond"/>
          <w:b/>
          <w:bCs/>
          <w:color w:val="1B2A4A"/>
          <w:sz w:val="22"/>
          <w:szCs w:val="22"/>
        </w:rPr>
        <w:t xml:space="preserve">Registry Integrity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standards apply to all registries and candidate pools maintained under constitutional mandate. Eligibility criteria are strictly objective — years of practice or service, office status, and financial interests as defined by this Constitution or by statute.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or removed applicant may petition the SC within 30 days of NRS publication; the SC reviews only whether the stated grounds correspond to an established eligibility criterion — it does not review the factual merits of the determination. The JMC annual audit must evaluate each registry for pool depth, distribution, and patterns in exclusion decisions. Changes to eligibility criteria apply prospectively only and do not affect persons already entered in a constitutional pool or registry under the criteria applicable at the time of their entry.</w:t>
      </w:r>
    </w:p>
    <w:p>
      <w:pPr>
        <w:spacing w:after="60" w:before="200"/>
        <w:ind w:left="431"/>
        <w:jc w:val="left"/>
      </w:pPr>
      <w:r>
        <w:rPr>
          <w:rFonts w:ascii="Courier New" w:cs="Courier New" w:eastAsia="Courier New" w:hAnsi="Courier New"/>
          <w:b/>
          <w:bCs/>
          <w:color w:val="1B2A4A"/>
          <w:sz w:val="18"/>
          <w:szCs w:val="18"/>
        </w:rPr>
        <w:t xml:space="preserve">§9.14  </w:t>
      </w:r>
      <w:r>
        <w:rPr>
          <w:rFonts w:ascii="Garamond" w:cs="Garamond" w:eastAsia="Garamond" w:hAnsi="Garamond"/>
          <w:b/>
          <w:bCs/>
          <w:color w:val="1B2A4A"/>
          <w:sz w:val="22"/>
          <w:szCs w:val="22"/>
        </w:rPr>
        <w:t xml:space="preserve">Constitutional Officer Removal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section governs for-cause removal of all constitutionally confirmed independent officers except Supreme Court justices (§4.3.b) and elected executives. Two removal tracks are available. Under the Standard Track, the charging party files stated grounds with the SC under §9.9; the SC confirms grounds within 14 days; duty suspension activates immediately on confirmation; removal requires a 2/3 vote of both chambers in a concurrent vote; no removal vote may be held within 180 days of a major national election without prior SC review within 48 hours. Under the Judicial Track, where two of the three Monitors jointly assess and report for-cause grounds and petition the SC, the SC determines within 30 days whether the certified grounds constitute sufficient cause for suspension; where the SC fails to rule within 30 days, cause is deemed found by constitutional operation; if cause is found or deemed found, the officer is suspended and the most senior deputy acts in the interim; the Senate has 60 days to hold a removal vote, with 3/5 required for permanent removal; a vote failing 3/5 reinstates the officer and closes the process; where the Senate fails to vote within 60 days, the matter is placed before the next federal electoral period ballot or a Legislature-set special election with a minimum 90-day notice period; removal by election requires 60% of votes cast. The Judicial Track is available where the Standard Track’s legislative threshold appears unreachable due to demonstrated political gridlock. Officers subject to this framework include the Monitor Generals and any other officers whose selection process is established by this Constitution rather than by statute. Officers of independent agencies established under §3.9 are not subject to this framework; their removal is governed by the statute establishing the relevant agency, which must preserve the for-cause removal principle. Provisions governing specific offices may cross-reference this section without restating its terms.</w:t>
      </w:r>
    </w:p>
    <w:p>
      <w:pPr>
        <w:spacing w:after="60" w:before="200"/>
        <w:jc w:val="left"/>
      </w:pPr>
      <w:r>
        <w:rPr>
          <w:rFonts w:ascii="Garamond" w:cs="Garamond" w:eastAsia="Garamond" w:hAnsi="Garamond"/>
          <w:b/>
          <w:bCs/>
          <w:i w:val="false"/>
          <w:iCs w:val="false"/>
          <w:color w:val="1B2A4A"/>
          <w:sz w:val="34"/>
          <w:szCs w:val="34"/>
        </w:rPr>
        <w:t xml:space="preserve">Article X — The National Record System</w:t>
      </w:r>
    </w:p>
    <w:p>
      <w:pPr>
        <w:spacing w:after="60" w:before="200"/>
        <w:ind w:left="431"/>
        <w:jc w:val="left"/>
      </w:pPr>
      <w:r>
        <w:rPr>
          <w:rFonts w:ascii="Courier New" w:cs="Courier New" w:eastAsia="Courier New" w:hAnsi="Courier New"/>
          <w:b/>
          <w:bCs/>
          <w:color w:val="1B2A4A"/>
          <w:sz w:val="18"/>
          <w:szCs w:val="18"/>
        </w:rPr>
        <w:t xml:space="preserve">§10.1  </w:t>
      </w:r>
      <w:r>
        <w:rPr>
          <w:rFonts w:ascii="Garamond" w:cs="Garamond" w:eastAsia="Garamond" w:hAnsi="Garamond"/>
          <w:b/>
          <w:bCs/>
          <w:i w:val="false"/>
          <w:iCs w:val="false"/>
          <w:color w:val="1B2A4A"/>
          <w:sz w:val="22"/>
          <w:szCs w:val="22"/>
        </w:rPr>
        <w:t xml:space="preserve">National Record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Record System is the permanent, tamper-evident public record of the Republic — freely accessible to every Inhabitant at no cost. Every constitutional act, order, finding, certification, designation, declaration, and determination made under authority of this Constitution is published to the NRS as a permanent record. No provision of this Constitution need state this obligation individually; it applies universally by operation of this section. Where this Constitution specifies a publication timeline, that timeline governs; in all other cases, publication occurs at or before the effective moment of the act. Records may not be deleted, altered, or reclassified after publication; corrections are published as new entries alongside the original. Where the NRS Panel determines by unanimous vote that a record was published in error and its continued availability poses an imminent, specific, and documented threat to individual safety, the NRS Panel may temporarily restrict access for a period not to exceed 30 days while the SC reviews the restriction; the SC must rule within 14 days; the record is permanently restored unless the SC confirms the restriction on the narrowest possible grounds. The original record timestamp and the restriction record both remain as permanent NRS entries. The NRS must remain fully functional in the event of localized technical failure — no single point of failure is constitutionally acceptable. The Legislature defines technical standards by statute. The NRS includes a permanent historical archive of all prior legislative acts, executive orders, judicial decisions, and government documents dating to the Republic's founding. Records published to the NRS by any jurisdiction within the Republic are recognized as authentic by all other jurisdictions without re-certification. Monitor reports are permanently exempt from classification. Citizens may submit corrections or context to any NRS record through a public mechanism maintained by the LM; submissions are published alongside the original after accuracy review. The NRS is the record of government, not a condition of it. Government acts take legal effect from the moment of issuance regardless of NRS status; the publication obligation applies from the moment the NRS is restored. The JM maintains a continuously operating parallel authentication system, physically and logistically independent of the NRS, capable of authenticating and preserving all constitutional acts without NRS connectivity. This system operates in parallel at all times — not merely as a contingency — and records all authenticated acts with full constitutional effect from the moment of their issuance. Upon NRS restoration, all parallel system records migrate to the NRS as permanent records with their original issuance timestamps. Where the NRS has not been restored within 180 days, the parallel system becomes the constitutional record of the Republic; the Legislature must by statute establish permanent restoration obligations and timelines within 90 days of that threshold. The Legislature defines the technical specifications, security standards, and operational parameters of the parallel system by statute; the constitutional obligation to maintain it is absolute and its funding floor follows the NRS funding floor in this section. Funding for the NRS may not be reduced below the prior year’s level without a 2/3 vote of both chambers. Classification used to conceal a constitutional violation or illegal order is itself a constitutional offense.</w:t>
      </w:r>
    </w:p>
    <w:p>
      <w:pPr>
        <w:spacing w:after="60" w:before="200"/>
        <w:ind w:left="431"/>
        <w:jc w:val="left"/>
      </w:pPr>
      <w:r>
        <w:rPr>
          <w:rFonts w:ascii="Courier New" w:cs="Courier New" w:eastAsia="Courier New" w:hAnsi="Courier New"/>
          <w:b/>
          <w:bCs/>
          <w:color w:val="1B2A4A"/>
          <w:sz w:val="18"/>
          <w:szCs w:val="18"/>
        </w:rPr>
        <w:t xml:space="preserve">§10.2  </w:t>
      </w:r>
      <w:r>
        <w:rPr>
          <w:rFonts w:ascii="Garamond" w:cs="Garamond" w:eastAsia="Garamond" w:hAnsi="Garamond"/>
          <w:b/>
          <w:bCs/>
          <w:i w:val="false"/>
          <w:iCs w:val="false"/>
          <w:color w:val="1B2A4A"/>
          <w:sz w:val="22"/>
          <w:szCs w:val="22"/>
        </w:rPr>
        <w:t xml:space="preserve">NRS and Electoral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electoral records — voter registration, ballot counts, audit trails, certification documents — must be published to the NRS within the timeframes specified by the Elections Panel's constitutional mandate under Article XI. No classification exception applies to electoral records.</w:t>
      </w:r>
    </w:p>
    <w:p>
      <w:pPr>
        <w:spacing w:after="60" w:before="200"/>
        <w:ind w:left="431"/>
        <w:jc w:val="left"/>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Classification Criteria</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w:t>
      </w:r>
    </w:p>
    <w:p>
      <w:pPr>
        <w:spacing w:after="60" w:before="200"/>
        <w:ind w:left="431"/>
        <w:jc w:val="left"/>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Duration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pPr>
        <w:spacing w:after="60" w:before="200"/>
        <w:jc w:val="left"/>
      </w:pPr>
      <w:r>
        <w:rPr>
          <w:rFonts w:ascii="Garamond" w:cs="Garamond" w:eastAsia="Garamond" w:hAnsi="Garamond"/>
          <w:b/>
          <w:bCs/>
          <w:i w:val="false"/>
          <w:iCs w:val="false"/>
          <w:color w:val="1B2A4A"/>
          <w:sz w:val="34"/>
          <w:szCs w:val="34"/>
        </w:rPr>
        <w:t xml:space="preserve">Article XI — NRS Panel and Elections Panel</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NRS Panel and Elections Panel</w:t>
      </w:r>
    </w:p>
    <w:p>
      <w:pPr>
        <w:spacing w:after="120" w:before="0"/>
        <w:ind w:left="431"/>
        <w:jc w:val="both"/>
      </w:pPr>
      <w:r>
        <w:rPr>
          <w:rFonts w:ascii="Garamond" w:cs="Garamond" w:eastAsia="Garamond" w:hAnsi="Garamond"/>
          <w:b w:val="false"/>
          <w:bCs w:val="false"/>
          <w:i w:val="false"/>
          <w:iCs w:val="false"/>
          <w:color w:val="2a2520"/>
          <w:sz w:val="22"/>
          <w:szCs w:val="22"/>
        </w:rPr>
        <w:t xml:space="preserve">Two constitutionally independent panels — the NRS Panel and the Elections Panel — operate the Republic’s permanent record infrastructure and electoral systems respectively. The NRS Panel operates the National Record System. The Elections Panel operates the National Voting System and administers all federal elections, referenda, and confirmation votes. Each panel is operationally independent of the other and of both executives and the Legislature in the exercise of its functions; neither panel may direct the other.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neither panel holds legislative, executive, judicial, or policy authority.</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NVS Properties and Voting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Every citizen holds the right to vote in federal elections.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States may offer early voting, mail-in ballots, and alternative participation methods provided all methods connect to the NVS and meet its constitutional standards. No State may reduce NVS access, functionality, or availability within its territory.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Panel Emergency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by statute a procedure for each panel to adopt temporary technical measures in response to imminent security threats or system failures within its domain; emergency measures may not change electoral rules, timelines, or NRS record permanence; they expire within 72 hours unless the seated members of the panel ratify them by majority vote of those able to act. The Legislature must by statute establish the transition from any predecessor voting infrastructure to the constitutionally required NVS, ensuring no gap in democratic participation.</w:t>
      </w:r>
    </w:p>
    <w:p>
      <w:pPr>
        <w:spacing w:after="60" w:before="200"/>
        <w:jc w:val="left"/>
      </w:pPr>
      <w:r>
        <w:rPr>
          <w:rFonts w:ascii="Garamond" w:cs="Garamond" w:eastAsia="Garamond" w:hAnsi="Garamond"/>
          <w:b/>
          <w:bCs/>
          <w:i w:val="false"/>
          <w:iCs w:val="false"/>
          <w:color w:val="1B2A4A"/>
          <w:sz w:val="34"/>
          <w:szCs w:val="34"/>
        </w:rPr>
        <w:t xml:space="preserve">Article XII — Social State and Economic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The Social State and Monetary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 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pPr>
        <w:spacing w:after="60" w:before="200"/>
        <w:ind w:left="431"/>
        <w:jc w:val="left"/>
      </w:pPr>
      <w:r>
        <w:rPr>
          <w:rFonts w:ascii="Courier New" w:cs="Courier New" w:eastAsia="Courier New" w:hAnsi="Courier New"/>
          <w:b/>
          <w:bCs/>
          <w:color w:val="1B2A4A"/>
          <w:sz w:val="18"/>
          <w:szCs w:val="18"/>
        </w:rPr>
        <w:t xml:space="preserve">§12.2  </w:t>
      </w:r>
      <w:r>
        <w:rPr>
          <w:rFonts w:ascii="Garamond" w:cs="Garamond" w:eastAsia="Garamond" w:hAnsi="Garamond"/>
          <w:b/>
          <w:bCs/>
          <w:i w:val="false"/>
          <w:iCs w:val="false"/>
          <w:color w:val="1B2A4A"/>
          <w:sz w:val="22"/>
          <w:szCs w:val="22"/>
        </w:rPr>
        <w:t xml:space="preserve">Fiscal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the functions protected under §2.15;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pPr>
        <w:spacing w:after="120" w:before="0"/>
        <w:ind w:left="431"/>
        <w:jc w:val="both"/>
      </w:pPr>
      <w:r>
        <w:rPr>
          <w:rFonts w:ascii="Garamond" w:cs="Garamond" w:eastAsia="Garamond" w:hAnsi="Garamond"/>
          <w:b w:val="false"/>
          <w:bCs w:val="false"/>
          <w:i w:val="false"/>
          <w:iCs w:val="false"/>
          <w:color w:val="2a2520"/>
          <w:sz w:val="22"/>
          <w:szCs w:val="22"/>
        </w:rPr>
        <w:t xml:space="preserve"/>
      </w:r>
    </w:p>
    <w:p>
      <w:pPr>
        <w:spacing w:after="60" w:before="200"/>
        <w:ind w:left="431"/>
        <w:jc w:val="left"/>
      </w:pPr>
      <w:r>
        <w:rPr>
          <w:rFonts w:ascii="Courier New" w:cs="Courier New" w:eastAsia="Courier New" w:hAnsi="Courier New"/>
          <w:b/>
          <w:bCs/>
          <w:color w:val="1B2A4A"/>
          <w:sz w:val="18"/>
          <w:szCs w:val="18"/>
        </w:rPr>
        <w:t xml:space="preserve">§12.3  </w:t>
      </w:r>
      <w:r>
        <w:rPr>
          <w:rFonts w:ascii="Garamond" w:cs="Garamond" w:eastAsia="Garamond" w:hAnsi="Garamond"/>
          <w:b/>
          <w:bCs/>
          <w:i w:val="false"/>
          <w:iCs w:val="false"/>
          <w:color w:val="1B2A4A"/>
          <w:sz w:val="22"/>
          <w:szCs w:val="22"/>
        </w:rPr>
        <w:t xml:space="preserve">Taxing Power and National Revenue Fund</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has exclusive authority to levy taxes, duties, and tariffs by statute; no other body may impose a tax, duty, or levy. All public money received by the Republic — including tax revenue, fees, and other receipts — is deposited into the National Revenue Fund. No money may be withdrawn from the National Revenue Fund except by legislative appropriation under §12.2; the EM audits the Fund’s receipts and disbursements as part of its annual fiscal mandate. No tax may discriminate on the basis of the characteristics listed in §1.6. The Legislature sets tax rates for all jurisdictions within the Republic, including States, Territories, and Associated Communities. Tariff rates established by a ratified treaty under §3.6 constitute legislatively authorized rates for the duration of that treaty; the Legislature may set tariff schedules within which the Legat Consul may negotiate specific rates.</w:t>
      </w:r>
    </w:p>
    <w:p>
      <w:pPr>
        <w:spacing w:after="60" w:before="200"/>
        <w:ind w:left="431"/>
        <w:jc w:val="left"/>
      </w:pPr>
      <w:r>
        <w:rPr>
          <w:rFonts w:ascii="Courier New" w:cs="Courier New" w:eastAsia="Courier New" w:hAnsi="Courier New"/>
          <w:b/>
          <w:bCs/>
          <w:color w:val="1B2A4A"/>
          <w:sz w:val="18"/>
          <w:szCs w:val="18"/>
        </w:rPr>
        <w:t xml:space="preserve">§12.4  </w:t>
      </w:r>
      <w:r>
        <w:rPr>
          <w:rFonts w:ascii="Garamond" w:cs="Garamond" w:eastAsia="Garamond" w:hAnsi="Garamond"/>
          <w:b/>
          <w:bCs/>
          <w:i w:val="false"/>
          <w:iCs w:val="false"/>
          <w:color w:val="1B2A4A"/>
          <w:sz w:val="22"/>
          <w:szCs w:val="22"/>
        </w:rPr>
        <w:t xml:space="preserve">Ethics and Conflict of Interest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constitutional officers must disclose all financial interests, holdings, income sources, and liabilities to the EM within the period defined by statute after taking office and annually thereafter; disclosure records are published to the NRS. Any officer with a direct financial interest in a decision within their authority must recuse themselves; recusal is self-executing. Any decision made without required recusal is voidable; the relevant chamber may void the decision by simple majority within 90 days of an EM finding of conflict. Constitutional officers may not, for a period defined by statute after leaving office — which may not be less than two years — engage in any activity that monetizes or draws on non-public information, relationships, or access accumulated during service; the EM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 EM and deposited with the relevant treasury. All records created in the exercise of official functions are public records and may not be retained, destroyed, or removed by departing officers. The EM investigates alleged violations and publishes findings to the NRS; where findings warrant further action, the EM refers to the appropriate authority.</w:t>
      </w:r>
    </w:p>
    <w:p>
      <w:pPr>
        <w:spacing w:after="60" w:before="200"/>
        <w:ind w:left="431"/>
        <w:jc w:val="left"/>
      </w:pPr>
      <w:r>
        <w:rPr>
          <w:rFonts w:ascii="Courier New" w:cs="Courier New" w:eastAsia="Courier New" w:hAnsi="Courier New"/>
          <w:b/>
          <w:bCs/>
          <w:color w:val="1B2A4A"/>
          <w:sz w:val="18"/>
          <w:szCs w:val="18"/>
        </w:rPr>
        <w:t xml:space="preserve">§12.5  </w:t>
      </w:r>
      <w:r>
        <w:rPr>
          <w:rFonts w:ascii="Garamond" w:cs="Garamond" w:eastAsia="Garamond" w:hAnsi="Garamond"/>
          <w:b/>
          <w:bCs/>
          <w:i w:val="false"/>
          <w:iCs w:val="false"/>
          <w:color w:val="1B2A4A"/>
          <w:sz w:val="22"/>
          <w:szCs w:val="22"/>
        </w:rPr>
        <w:t xml:space="preserve">National Endowment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pPr>
        <w:spacing w:after="60" w:before="200"/>
        <w:ind w:left="431"/>
        <w:jc w:val="left"/>
      </w:pPr>
      <w:r>
        <w:rPr>
          <w:rFonts w:ascii="Courier New" w:cs="Courier New" w:eastAsia="Courier New" w:hAnsi="Courier New"/>
          <w:b/>
          <w:bCs/>
          <w:color w:val="1B2A4A"/>
          <w:sz w:val="18"/>
          <w:szCs w:val="18"/>
        </w:rPr>
        <w:t xml:space="preserve">§12.6  </w:t>
      </w:r>
      <w:r>
        <w:rPr>
          <w:rFonts w:ascii="Garamond" w:cs="Garamond" w:eastAsia="Garamond" w:hAnsi="Garamond"/>
          <w:b/>
          <w:bCs/>
          <w:i w:val="false"/>
          <w:iCs w:val="false"/>
          <w:color w:val="1B2A4A"/>
          <w:sz w:val="22"/>
          <w:szCs w:val="22"/>
        </w:rPr>
        <w:t xml:space="preserve">Compensation of Public Officials</w:t>
      </w:r>
    </w:p>
    <w:p>
      <w:pPr>
        <w:spacing w:after="120" w:before="0"/>
        <w:ind w:left="431"/>
        <w:jc w:val="both"/>
      </w:pPr>
      <w:r>
        <w:rPr>
          <w:rFonts w:ascii="Garamond" w:cs="Garamond" w:eastAsia="Garamond" w:hAnsi="Garamond"/>
          <w:b w:val="false"/>
          <w:bCs w:val="false"/>
          <w:i w:val="false"/>
          <w:iCs w:val="false"/>
          <w:color w:val="2a2520"/>
          <w:sz w:val="22"/>
          <w:szCs w:val="22"/>
        </w:rPr>
        <w:t xml:space="preserve">No government official may set their own compensation or the compensation of their direct supervisors. All official compensation is set by statute and is a public record on the NRS. Official benefits and accommodations beyond compensation reflect the functional requirements of the office, not the status of the officeholder. The Legislature may set the compensation of elected constitutional officers by statute. No change to any such compensation takes effect until after the next election for the relevant office following the session in which it was enacted. No benefit may exceed what the function genuinely requires. Departures from ordinary professional standards require a demonstrable operational need, documented and published to the NRS, and are limited to the minimum extent that need requires.</w:t>
      </w:r>
    </w:p>
    <w:p>
      <w:pPr>
        <w:spacing w:after="8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i w:val="false"/>
          <w:iCs w:val="false"/>
          <w:color w:val="1B2A4A"/>
          <w:sz w:val="22"/>
          <w:szCs w:val="22"/>
        </w:rPr>
        <w:t xml:space="preserve">Internal Commerce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State or Territory may impose requirements on goods, services, or economic activity originating in another State or Territory that are more burdensome than those applied to its own. The Legislature may establish uniform internal commerce standards by statute.</w:t>
      </w:r>
    </w:p>
    <w:p>
      <w:pPr>
        <w:spacing w:after="8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i w:val="false"/>
          <w:iCs w:val="false"/>
          <w:color w:val="1B2A4A"/>
          <w:sz w:val="22"/>
          <w:szCs w:val="22"/>
        </w:rPr>
        <w:t xml:space="preserve">Fiscal Equalization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w:t>
      </w:r>
    </w:p>
    <w:p>
      <w:pPr>
        <w:spacing w:after="60" w:before="200"/>
        <w:jc w:val="left"/>
      </w:pPr>
      <w:r>
        <w:rPr>
          <w:rFonts w:ascii="Garamond" w:cs="Garamond" w:eastAsia="Garamond" w:hAnsi="Garamond"/>
          <w:b/>
          <w:bCs/>
          <w:i w:val="false"/>
          <w:iCs w:val="false"/>
          <w:color w:val="1B2A4A"/>
          <w:sz w:val="34"/>
          <w:szCs w:val="34"/>
        </w:rPr>
        <w:t xml:space="preserve">Article XIII — Direct Democracy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§13.1  </w:t>
      </w:r>
      <w:r>
        <w:rPr>
          <w:rFonts w:ascii="Garamond" w:cs="Garamond" w:eastAsia="Garamond" w:hAnsi="Garamond"/>
          <w:b/>
          <w:bCs/>
          <w:i w:val="false"/>
          <w:iCs w:val="false"/>
          <w:color w:val="1B2A4A"/>
          <w:sz w:val="22"/>
          <w:szCs w:val="22"/>
        </w:rPr>
        <w:t xml:space="preserve">Optional Referendum</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initiate a national referendum to repeal enacted legislation by petition of 5% of eligible voters within 90 days of enactment.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not to exceed 50%, repeals the law immediately upon certification. A failed referendum cannot be re-initiated on the same or substantially similar grounds for 5 years; the Legislature may re-enact a repealed law, which is again subject to referendum.</w:t>
      </w:r>
    </w:p>
    <w:p>
      <w:pPr>
        <w:spacing w:after="60" w:before="200"/>
        <w:ind w:left="431"/>
        <w:jc w:val="left"/>
      </w:pPr>
      <w:r>
        <w:rPr>
          <w:rFonts w:ascii="Courier New" w:cs="Courier New" w:eastAsia="Courier New" w:hAnsi="Courier New"/>
          <w:b/>
          <w:bCs/>
          <w:color w:val="1B2A4A"/>
          <w:sz w:val="18"/>
          <w:szCs w:val="18"/>
        </w:rPr>
        <w:t xml:space="preserve">§13.2  </w:t>
      </w:r>
      <w:r>
        <w:rPr>
          <w:rFonts w:ascii="Garamond" w:cs="Garamond" w:eastAsia="Garamond" w:hAnsi="Garamond"/>
          <w:b/>
          <w:bCs/>
          <w:i w:val="false"/>
          <w:iCs w:val="false"/>
          <w:color w:val="1B2A4A"/>
          <w:sz w:val="22"/>
          <w:szCs w:val="22"/>
        </w:rPr>
        <w:t xml:space="preserve">Citizen Legislative Initiative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propose legislation directly to the Legislature by petition of 10% of eligible voters. The Legislature must vote on the proposal within 90 days; if it fails or is not voted on, the proposal proceeds to a direct citizen referendum; passage requires 60% of votes cast with at least 50% citizen participation.</w:t>
      </w:r>
    </w:p>
    <w:p>
      <w:pPr>
        <w:spacing w:after="60" w:before="200"/>
        <w:ind w:left="431"/>
        <w:jc w:val="left"/>
      </w:pPr>
      <w:r>
        <w:rPr>
          <w:rFonts w:ascii="Courier New" w:cs="Courier New" w:eastAsia="Courier New" w:hAnsi="Courier New"/>
          <w:b/>
          <w:bCs/>
          <w:color w:val="1B2A4A"/>
          <w:sz w:val="18"/>
          <w:szCs w:val="18"/>
        </w:rPr>
        <w:t xml:space="preserve">§13.3  </w:t>
      </w:r>
      <w:r>
        <w:rPr>
          <w:rFonts w:ascii="Garamond" w:cs="Garamond" w:eastAsia="Garamond" w:hAnsi="Garamond"/>
          <w:b/>
          <w:bCs/>
          <w:i w:val="false"/>
          <w:iCs w:val="false"/>
          <w:color w:val="1B2A4A"/>
          <w:sz w:val="22"/>
          <w:szCs w:val="22"/>
        </w:rPr>
        <w:t xml:space="preserve">Local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pPr>
        <w:spacing w:after="60" w:before="200"/>
        <w:ind w:left="431"/>
        <w:jc w:val="left"/>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Electoral Supermajority Threshold</w:t>
      </w:r>
    </w:p>
    <w:p>
      <w:pPr>
        <w:spacing w:after="120" w:before="0"/>
        <w:ind w:left="431"/>
        <w:jc w:val="both"/>
      </w:pPr>
      <w:r>
        <w:rPr>
          <w:rFonts w:ascii="Garamond" w:cs="Garamond" w:eastAsia="Garamond" w:hAnsi="Garamond"/>
          <w:b w:val="false"/>
          <w:bCs w:val="false"/>
          <w:i w:val="false"/>
          <w:iCs w:val="false"/>
          <w:color w:val="2a2520"/>
          <w:sz w:val="22"/>
          <w:szCs w:val="22"/>
        </w:rPr>
        <w:t xml:space="preserve">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the Judicial Track (§9.14).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pPr>
        <w:spacing w:after="60" w:before="200"/>
        <w:jc w:val="left"/>
      </w:pPr>
      <w:r>
        <w:rPr>
          <w:rFonts w:ascii="Garamond" w:cs="Garamond" w:eastAsia="Garamond" w:hAnsi="Garamond"/>
          <w:b/>
          <w:bCs/>
          <w:i w:val="false"/>
          <w:iCs w:val="false"/>
          <w:color w:val="1B2A4A"/>
          <w:sz w:val="34"/>
          <w:szCs w:val="34"/>
        </w:rPr>
        <w:t xml:space="preserve">Article XIV — Military Authorization and Accountability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§14.1  </w:t>
      </w:r>
      <w:r>
        <w:rPr>
          <w:rFonts w:ascii="Garamond" w:cs="Garamond" w:eastAsia="Garamond" w:hAnsi="Garamond"/>
          <w:b/>
          <w:bCs/>
          <w:i w:val="false"/>
          <w:iCs w:val="false"/>
          <w:color w:val="1B2A4A"/>
          <w:sz w:val="22"/>
          <w:szCs w:val="22"/>
        </w:rPr>
        <w:t xml:space="preserve">Authorized Purposes for Military Force</w:t>
      </w:r>
    </w:p>
    <w:p>
      <w:pPr>
        <w:spacing w:after="120" w:before="0"/>
        <w:ind w:left="431"/>
        <w:jc w:val="both"/>
      </w:pPr>
      <w:r>
        <w:rPr>
          <w:rFonts w:ascii="Garamond" w:cs="Garamond" w:eastAsia="Garamond" w:hAnsi="Garamond"/>
          <w:b w:val="false"/>
          <w:bCs w:val="false"/>
          <w:i w:val="false"/>
          <w:iCs w:val="false"/>
          <w:color w:val="2a2520"/>
          <w:sz w:val="22"/>
          <w:szCs w:val="22"/>
        </w:rPr>
        <w:t xml:space="preserve">Military force serves two authorized purposes: protection of the Republic's territory, citizens, and treaty allies; and, with legislative authorization stating the specific grounds, response to genocide as recognized under international law.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w:t>
      </w:r>
    </w:p>
    <w:p>
      <w:pPr>
        <w:spacing w:after="60" w:before="200"/>
        <w:ind w:left="431"/>
        <w:jc w:val="left"/>
      </w:pPr>
      <w:r>
        <w:rPr>
          <w:rFonts w:ascii="Courier New" w:cs="Courier New" w:eastAsia="Courier New" w:hAnsi="Courier New"/>
          <w:b/>
          <w:bCs/>
          <w:color w:val="1B2A4A"/>
          <w:sz w:val="18"/>
          <w:szCs w:val="18"/>
        </w:rPr>
        <w:t xml:space="preserve">§14.2  </w:t>
      </w:r>
      <w:r>
        <w:rPr>
          <w:rFonts w:ascii="Garamond" w:cs="Garamond" w:eastAsia="Garamond" w:hAnsi="Garamond"/>
          <w:b/>
          <w:bCs/>
          <w:i w:val="false"/>
          <w:iCs w:val="false"/>
          <w:color w:val="1B2A4A"/>
          <w:sz w:val="22"/>
          <w:szCs w:val="22"/>
        </w:rPr>
        <w:t xml:space="preserve">Defense Authorization and Allocation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Military expenditure is authorized through Civic Consul certification concurrent with legislative authorization. No military operation may be funded without Civic Consul certification; the Civic Consul may certify, condition, or decline certification on any operation. Expenditure in categories not covered by the certification requires supplementary Civic Consul certification. When legislative authorization expires or is not renewed, all military expenditure ceases; ongoing contracts may continue to wind down for the period the Legislature defines by statute; no new commitments may be entered after authorization expires. The EM audits all military expenditure during active operations and publishes findings to the NRS. Within the period the Legislature defines by statute following the conclusion of any military operation, not to exceed 180 days, the EM publishes a comprehensive expenditure accountability report. Where the Civic Consul declines certification for ongoing military operations that have been legislatively authorized, previously certified operational expenditure continues at maintenance-only levels for the period the Legislature defines by statute — covering only operations explicitly within the prior authorization, with no escalations, expansions, or new commitments permitted; the Legat Consul must publish notice of the certification refusal to the NRS within 24 hours with stated grounds; both chambers must be notified simultaneously; if the Legislature does not act within the maintenance period, all expenditure ceases. A Civic Consul who declines certification bears the same constitutional attribution for the consequences of that decision as a Legat Consul who orders an operation.</w:t>
      </w:r>
    </w:p>
    <w:p>
      <w:pPr>
        <w:spacing w:after="60" w:before="200"/>
        <w:ind w:left="431"/>
        <w:jc w:val="left"/>
      </w:pPr>
      <w:r>
        <w:rPr>
          <w:rFonts w:ascii="Courier New" w:cs="Courier New" w:eastAsia="Courier New" w:hAnsi="Courier New"/>
          <w:b/>
          <w:bCs/>
          <w:color w:val="1B2A4A"/>
          <w:sz w:val="18"/>
          <w:szCs w:val="18"/>
        </w:rPr>
        <w:t xml:space="preserve">§14.3  </w:t>
      </w:r>
      <w:r>
        <w:rPr>
          <w:rFonts w:ascii="Garamond" w:cs="Garamond" w:eastAsia="Garamond" w:hAnsi="Garamond"/>
          <w:b/>
          <w:bCs/>
          <w:i w:val="false"/>
          <w:iCs w:val="false"/>
          <w:color w:val="1B2A4A"/>
          <w:sz w:val="22"/>
          <w:szCs w:val="22"/>
        </w:rPr>
        <w:t xml:space="preserve">Military Intelligence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Intelligence capabilities used in support of authorized military operations are subject to the §2.3 warrant requirement at all times — no military operation authorizes domestic intelligence collection against citizens without independent judicial authorization. Intelligence activities must be published to the NRS in classified summary form within the period defined by statute following military operations being fully concluded.</w:t>
      </w:r>
    </w:p>
    <w:p>
      <w:pPr>
        <w:spacing w:after="60" w:before="200"/>
        <w:ind w:left="431"/>
        <w:jc w:val="left"/>
      </w:pPr>
      <w:r>
        <w:rPr>
          <w:rFonts w:ascii="Courier New" w:cs="Courier New" w:eastAsia="Courier New" w:hAnsi="Courier New"/>
          <w:b/>
          <w:bCs/>
          <w:color w:val="1B2A4A"/>
          <w:sz w:val="18"/>
          <w:szCs w:val="18"/>
        </w:rPr>
        <w:t xml:space="preserve">§14.4  </w:t>
      </w:r>
      <w:r>
        <w:rPr>
          <w:rFonts w:ascii="Garamond" w:cs="Garamond" w:eastAsia="Garamond" w:hAnsi="Garamond"/>
          <w:b/>
          <w:bCs/>
          <w:i w:val="false"/>
          <w:iCs w:val="false"/>
          <w:color w:val="1B2A4A"/>
          <w:sz w:val="22"/>
          <w:szCs w:val="22"/>
        </w:rPr>
        <w:t xml:space="preserve">Military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the period defined by statute following legislative military authorization being renewed for a second time, the Senate must approve a Transition and Reconstruction Plan specifying the Republic's post-conflict obligations: status of alliance obligations, civilian reconstruction support, transitional justice support, and withdrawal timeline. The Plan is published to the NRS and is binding on both executives within their respective domains. If the Senate fails to approve a Plan within the required period, that failure is a constitutional compliance breach; the Civic Consul may provisionally extend expenditure certification for continued operations for up to 60 days total in two 30-day extensions, each requiring Civic Consul notification to the Senate and publication to the NRS confirming that the certified expenditure remains within the Declaration's scope; operational authority over those operations remains with the Legat Consul throughout. Once the two extensions are exhausted, no further authorization renewals are permitted until the Senate approves a Plan.</w:t>
      </w:r>
    </w:p>
    <w:p>
      <w:pPr>
        <w:spacing w:after="60" w:before="200"/>
        <w:ind w:left="431"/>
        <w:jc w:val="left"/>
      </w:pPr>
      <w:r>
        <w:rPr>
          <w:rFonts w:ascii="Courier New" w:cs="Courier New" w:eastAsia="Courier New" w:hAnsi="Courier New"/>
          <w:b/>
          <w:bCs/>
          <w:color w:val="1B2A4A"/>
          <w:sz w:val="18"/>
          <w:szCs w:val="18"/>
        </w:rPr>
        <w:t xml:space="preserve">§14.5  </w:t>
      </w:r>
      <w:r>
        <w:rPr>
          <w:rFonts w:ascii="Garamond" w:cs="Garamond" w:eastAsia="Garamond" w:hAnsi="Garamond"/>
          <w:b/>
          <w:bCs/>
          <w:i w:val="false"/>
          <w:iCs w:val="false"/>
          <w:color w:val="1B2A4A"/>
          <w:sz w:val="22"/>
          <w:szCs w:val="22"/>
        </w:rPr>
        <w:t xml:space="preserve">Treaty-Based Military Authorization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Civic Consul certification of expenditure applies from the moment of action under §14.2.</w:t>
      </w:r>
    </w:p>
    <w:p>
      <w:pPr>
        <w:spacing w:after="60" w:before="200"/>
        <w:jc w:val="left"/>
      </w:pPr>
      <w:r>
        <w:rPr>
          <w:rFonts w:ascii="Garamond" w:cs="Garamond" w:eastAsia="Garamond" w:hAnsi="Garamond"/>
          <w:b/>
          <w:bCs/>
          <w:i w:val="false"/>
          <w:iCs w:val="false"/>
          <w:color w:val="1B2A4A"/>
          <w:sz w:val="34"/>
          <w:szCs w:val="34"/>
        </w:rPr>
        <w:t xml:space="preserve">Article XV — Territorial Structure and Statehood</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§15.1  </w:t>
      </w:r>
      <w:r>
        <w:rPr>
          <w:rFonts w:ascii="Garamond" w:cs="Garamond" w:eastAsia="Garamond" w:hAnsi="Garamond"/>
          <w:b/>
          <w:bCs/>
          <w:i w:val="false"/>
          <w:iCs w:val="false"/>
          <w:color w:val="1B2A4A"/>
          <w:sz w:val="22"/>
          <w:szCs w:val="22"/>
        </w:rPr>
        <w:t xml:space="preserve">Territorial Compact</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operates under a Territorial Compact,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pPr>
        <w:spacing w:after="60" w:before="200"/>
        <w:ind w:left="431"/>
        <w:jc w:val="left"/>
      </w:pPr>
      <w:r>
        <w:rPr>
          <w:rFonts w:ascii="Courier New" w:cs="Courier New" w:eastAsia="Courier New" w:hAnsi="Courier New"/>
          <w:b/>
          <w:bCs/>
          <w:color w:val="1B2A4A"/>
          <w:sz w:val="18"/>
          <w:szCs w:val="18"/>
        </w:rPr>
        <w:t xml:space="preserve">§15.2  </w:t>
      </w:r>
      <w:r>
        <w:rPr>
          <w:rFonts w:ascii="Garamond" w:cs="Garamond" w:eastAsia="Garamond" w:hAnsi="Garamond"/>
          <w:b/>
          <w:bCs/>
          <w:i w:val="false"/>
          <w:iCs w:val="false"/>
          <w:color w:val="1B2A4A"/>
          <w:sz w:val="22"/>
          <w:szCs w:val="22"/>
        </w:rPr>
        <w:t xml:space="preserve">The Statehood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pPr>
        <w:spacing w:after="60" w:before="200"/>
        <w:ind w:left="431"/>
        <w:jc w:val="left"/>
      </w:pPr>
      <w:r>
        <w:rPr>
          <w:rFonts w:ascii="Courier New" w:cs="Courier New" w:eastAsia="Courier New" w:hAnsi="Courier New"/>
          <w:b/>
          <w:bCs/>
          <w:color w:val="1B2A4A"/>
          <w:sz w:val="18"/>
          <w:szCs w:val="18"/>
        </w:rPr>
        <w:t xml:space="preserve">§15.3  </w:t>
      </w:r>
      <w:r>
        <w:rPr>
          <w:rFonts w:ascii="Garamond" w:cs="Garamond" w:eastAsia="Garamond" w:hAnsi="Garamond"/>
          <w:b/>
          <w:bCs/>
          <w:i w:val="false"/>
          <w:iCs w:val="false"/>
          <w:color w:val="1B2A4A"/>
          <w:sz w:val="22"/>
          <w:szCs w:val="22"/>
        </w:rPr>
        <w:t xml:space="preserve">Mandatory Devolution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citizens vote, administered by the Elections Panel under Article XI, on one of three paths: a two-year federal remediation commission; a State-managed remediation plan subject to LM quarterly assessment of progress against the published compliance requirements; or devolution to Territory status. A State-managed plan that fails two consecutive quarterly assessments automatically triggers a new citizen vote between the remaining two options. A devolved State returns to Territory status. Sitting senators complete their current elected terms — Senate seats are not vacated — but no new Senate elections may be held until Statehood is restored; existing Assembly members complete their current terms; Article I rights and social state protections continue without interruption. Restoration to Statehood is automatic upon passing the Statehood Audit and completing the Provisional Membership Period. Within 30 days of devolution taking effect, the affected State may petition the SC on the sole ground that the audit findings are factually insufficient to establish three consecutive failures; the Court reviews only the factual basis and must rule within 14 days.</w:t>
      </w:r>
    </w:p>
    <w:p>
      <w:pPr>
        <w:spacing w:after="60" w:before="200"/>
        <w:ind w:left="431"/>
        <w:jc w:val="left"/>
      </w:pPr>
      <w:r>
        <w:rPr>
          <w:rFonts w:ascii="Courier New" w:cs="Courier New" w:eastAsia="Courier New" w:hAnsi="Courier New"/>
          <w:b/>
          <w:bCs/>
          <w:color w:val="1B2A4A"/>
          <w:sz w:val="18"/>
          <w:szCs w:val="18"/>
        </w:rPr>
        <w:t xml:space="preserve">§15.4  </w:t>
      </w:r>
      <w:r>
        <w:rPr>
          <w:rFonts w:ascii="Garamond" w:cs="Garamond" w:eastAsia="Garamond" w:hAnsi="Garamond"/>
          <w:b/>
          <w:bCs/>
          <w:i w:val="false"/>
          <w:iCs w:val="false"/>
          <w:color w:val="1B2A4A"/>
          <w:sz w:val="22"/>
          <w:szCs w:val="22"/>
        </w:rPr>
        <w:t xml:space="preserve">Voluntary Devolution and Merger</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may voluntarily restructure its relationship with the Republic. The process requires a State referendum achieving 60% approval of eligible voters on the specific proposed restructuring; and Senate approval of a negotiated restructuring agreement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resulting from voluntary devolution enters the Statehood re-qualification pathway immediately.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pPr>
        <w:spacing w:after="60" w:before="200"/>
        <w:ind w:left="431"/>
        <w:jc w:val="left"/>
      </w:pPr>
      <w:r>
        <w:rPr>
          <w:rFonts w:ascii="Courier New" w:cs="Courier New" w:eastAsia="Courier New" w:hAnsi="Courier New"/>
          <w:b/>
          <w:bCs/>
          <w:color w:val="1B2A4A"/>
          <w:sz w:val="18"/>
          <w:szCs w:val="18"/>
        </w:rPr>
        <w:t xml:space="preserve">§15.5  </w:t>
      </w:r>
      <w:r>
        <w:rPr>
          <w:rFonts w:ascii="Garamond" w:cs="Garamond" w:eastAsia="Garamond" w:hAnsi="Garamond"/>
          <w:b/>
          <w:bCs/>
          <w:i w:val="false"/>
          <w:iCs w:val="false"/>
          <w:color w:val="1B2A4A"/>
          <w:sz w:val="22"/>
          <w:szCs w:val="22"/>
        </w:rPr>
        <w:t xml:space="preserve">Re-Qualification Pathway</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resulting from mandatory or voluntary devolution enters the Statehood re-qualification pathway under §15.2 immediately upon the effective date of devolution. No additional political vote is required to begin the pathway.</w:t>
      </w:r>
    </w:p>
    <w:p>
      <w:pPr>
        <w:spacing w:after="60" w:before="200"/>
        <w:ind w:left="431"/>
        <w:jc w:val="left"/>
      </w:pPr>
      <w:r>
        <w:rPr>
          <w:rFonts w:ascii="Courier New" w:cs="Courier New" w:eastAsia="Courier New" w:hAnsi="Courier New"/>
          <w:b/>
          <w:bCs/>
          <w:color w:val="1B2A4A"/>
          <w:sz w:val="18"/>
          <w:szCs w:val="18"/>
        </w:rPr>
        <w:t xml:space="preserve">§15.6  </w:t>
      </w:r>
      <w:r>
        <w:rPr>
          <w:rFonts w:ascii="Garamond" w:cs="Garamond" w:eastAsia="Garamond" w:hAnsi="Garamond"/>
          <w:b/>
          <w:bCs/>
          <w:i w:val="false"/>
          <w:iCs w:val="false"/>
          <w:color w:val="1B2A4A"/>
          <w:sz w:val="22"/>
          <w:szCs w:val="22"/>
        </w:rPr>
        <w:t xml:space="preserve">Voluntary Incorporation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and acceptance by the Legislature by 2/3 of both chambers. Under §9.1, either chamber may request a JM assessment of the entity's compliance with §1.19.b before the incorporation vote; published JM findings must be given due consideration. Any person with standing may challenge the incorporation before the SC on the ground that the entity systematically violates §1.19.b. An accepted petition produces an incorporation agreement specifying a transition period not exceeding 48 months.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pPr>
        <w:spacing w:after="60" w:before="200"/>
        <w:ind w:left="431"/>
        <w:jc w:val="left"/>
      </w:pPr>
      <w:r>
        <w:rPr>
          <w:rFonts w:ascii="Courier New" w:cs="Courier New" w:eastAsia="Courier New" w:hAnsi="Courier New"/>
          <w:b/>
          <w:bCs/>
          <w:color w:val="1B2A4A"/>
          <w:sz w:val="18"/>
          <w:szCs w:val="18"/>
        </w:rPr>
        <w:t xml:space="preserve">§15.7  </w:t>
      </w:r>
      <w:r>
        <w:rPr>
          <w:rFonts w:ascii="Garamond" w:cs="Garamond" w:eastAsia="Garamond" w:hAnsi="Garamond"/>
          <w:b/>
          <w:bCs/>
          <w:i w:val="false"/>
          <w:iCs w:val="false"/>
          <w:color w:val="1B2A4A"/>
          <w:sz w:val="22"/>
          <w:szCs w:val="22"/>
        </w:rPr>
        <w:t xml:space="preserve">State Immutability and Territorial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pPr>
        <w:spacing w:after="60" w:before="200"/>
        <w:jc w:val="left"/>
      </w:pPr>
      <w:r>
        <w:rPr>
          <w:rFonts w:ascii="Garamond" w:cs="Garamond" w:eastAsia="Garamond" w:hAnsi="Garamond"/>
          <w:b/>
          <w:bCs/>
          <w:i w:val="false"/>
          <w:iCs w:val="false"/>
          <w:color w:val="1B2A4A"/>
          <w:sz w:val="34"/>
          <w:szCs w:val="34"/>
        </w:rPr>
        <w:t xml:space="preserve">Article XVI — Indigenous Sovereignty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§16.1  </w:t>
      </w:r>
      <w:r>
        <w:rPr>
          <w:rFonts w:ascii="Garamond" w:cs="Garamond" w:eastAsia="Garamond" w:hAnsi="Garamond"/>
          <w:b/>
          <w:bCs/>
          <w:i w:val="false"/>
          <w:iCs w:val="false"/>
          <w:color w:val="1B2A4A"/>
          <w:sz w:val="22"/>
          <w:szCs w:val="22"/>
        </w:rPr>
        <w:t xml:space="preserve">Acknowledgment of Prior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pPr>
        <w:spacing w:after="60" w:before="200"/>
        <w:ind w:left="431"/>
        <w:jc w:val="left"/>
      </w:pPr>
      <w:r>
        <w:rPr>
          <w:rFonts w:ascii="Courier New" w:cs="Courier New" w:eastAsia="Courier New" w:hAnsi="Courier New"/>
          <w:b/>
          <w:bCs/>
          <w:color w:val="1B2A4A"/>
          <w:sz w:val="18"/>
          <w:szCs w:val="18"/>
        </w:rPr>
        <w:t xml:space="preserve">§16.2  </w:t>
      </w:r>
      <w:r>
        <w:rPr>
          <w:rFonts w:ascii="Garamond" w:cs="Garamond" w:eastAsia="Garamond" w:hAnsi="Garamond"/>
          <w:b/>
          <w:bCs/>
          <w:i w:val="false"/>
          <w:iCs w:val="false"/>
          <w:color w:val="1B2A4A"/>
          <w:sz w:val="22"/>
          <w:szCs w:val="22"/>
        </w:rPr>
        <w:t xml:space="preserve">Compact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pPr>
        <w:spacing w:after="60" w:before="200"/>
        <w:ind w:left="431"/>
        <w:jc w:val="left"/>
      </w:pPr>
      <w:r>
        <w:rPr>
          <w:rFonts w:ascii="Courier New" w:cs="Courier New" w:eastAsia="Courier New" w:hAnsi="Courier New"/>
          <w:b/>
          <w:bCs/>
          <w:color w:val="1B2A4A"/>
          <w:sz w:val="18"/>
          <w:szCs w:val="18"/>
        </w:rPr>
        <w:t xml:space="preserve">§16.3  </w:t>
      </w:r>
      <w:r>
        <w:rPr>
          <w:rFonts w:ascii="Garamond" w:cs="Garamond" w:eastAsia="Garamond" w:hAnsi="Garamond"/>
          <w:b/>
          <w:bCs/>
          <w:i w:val="false"/>
          <w:iCs w:val="false"/>
          <w:color w:val="1B2A4A"/>
          <w:sz w:val="22"/>
          <w:szCs w:val="22"/>
        </w:rPr>
        <w:t xml:space="preserve">Rights and Governance in Compact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pPr>
        <w:spacing w:after="60" w:before="200"/>
        <w:ind w:left="431"/>
        <w:jc w:val="left"/>
      </w:pPr>
      <w:r>
        <w:rPr>
          <w:rFonts w:ascii="Courier New" w:cs="Courier New" w:eastAsia="Courier New" w:hAnsi="Courier New"/>
          <w:b/>
          <w:bCs/>
          <w:color w:val="1B2A4A"/>
          <w:sz w:val="18"/>
          <w:szCs w:val="18"/>
        </w:rPr>
        <w:t xml:space="preserve">§16.4  </w:t>
      </w:r>
      <w:r>
        <w:rPr>
          <w:rFonts w:ascii="Garamond" w:cs="Garamond" w:eastAsia="Garamond" w:hAnsi="Garamond"/>
          <w:b/>
          <w:bCs/>
          <w:i w:val="false"/>
          <w:iCs w:val="false"/>
          <w:color w:val="1B2A4A"/>
          <w:sz w:val="22"/>
          <w:szCs w:val="22"/>
        </w:rPr>
        <w:t xml:space="preserve">Compact Administration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compact establishes a working mechanism for implementation and day-to-day administration in a form the parties agree. The Legat Consul designates a ministerial counterpart within the Legat Consul’s office for each compact relationship; this designation is published to the NRS. Disputes not resolved through the compact’s working mechanism are referred to independent adjudication on terms the compact specifies. Constitutional questions arising from compact interpretation are appealed to the SC, which must rule within 90 days of petition; where the SC fails to rule within 90 days, the Nation’s position is upheld by constitutional operation pending any subsequent ruling. The Executive Monitor audits the Republic’s compliance with its compact obligations annually and publishes findings to the NRS. Compact terms may be modified only by mutual agreement, negotiated by the Legat Consul and ratified by the Senate under §3.6. Compacts are reviewed on a schedule defined in their terms with a minimum review every 20 years; either party may request a review outside that schedule. A compact continues in force until the Nation files a valid status election under §16.7 and exit terms are concluded; exit terms are negotiated by the Legat Consul and ratified by the Senate under §3.6; if no exit agreement is reached within 24 months, either party may petition the SC to resolve the outstanding terms.</w:t>
      </w:r>
    </w:p>
    <w:p>
      <w:pPr>
        <w:spacing w:after="60" w:before="200"/>
        <w:ind w:left="431"/>
        <w:jc w:val="left"/>
      </w:pPr>
      <w:r>
        <w:rPr>
          <w:rFonts w:ascii="Courier New" w:cs="Courier New" w:eastAsia="Courier New" w:hAnsi="Courier New"/>
          <w:b/>
          <w:bCs/>
          <w:color w:val="1B2A4A"/>
          <w:sz w:val="18"/>
          <w:szCs w:val="18"/>
        </w:rPr>
        <w:t xml:space="preserve">§16.5  </w:t>
      </w:r>
      <w:r>
        <w:rPr>
          <w:rFonts w:ascii="Garamond" w:cs="Garamond" w:eastAsia="Garamond" w:hAnsi="Garamond"/>
          <w:b/>
          <w:bCs/>
          <w:i w:val="false"/>
          <w:iCs w:val="false"/>
          <w:color w:val="1B2A4A"/>
          <w:sz w:val="22"/>
          <w:szCs w:val="22"/>
        </w:rPr>
        <w:t xml:space="preserve">Federal Obligations and New Compact Petitions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affirmative obligations to compact territories: federal education funding, healthcare access, infrastructure investment, and emergency response. These obligations are enforceable by the Nation through the compact’s dispute resolution mechanism. Any resident of compact territory who believes an Article I right has been violated may bring an Emergency Rights Writ directly to the SC, bypassing all lower courts and the compact’s dispute resolution mechanism; the SC must rule within 7 days; where the SC fails to rule within 7 days, the Writ is granted and the alleged violation is treated as confirmed pending full SC review. Indigenous communities that do not currently hold a compact may petition the Senate for compact recognition; the Senate must consider the petition within 90 days and either begin negotiations or publish written reasons for declining. Indigenous Nation membership and Republic citizenship are compatible and independent statuses; dual status is the constitutional default.</w:t>
      </w:r>
    </w:p>
    <w:p>
      <w:pPr>
        <w:spacing w:after="60" w:before="200"/>
        <w:ind w:left="431"/>
        <w:jc w:val="left"/>
      </w:pPr>
      <w:r>
        <w:rPr>
          <w:rFonts w:ascii="Courier New" w:cs="Courier New" w:eastAsia="Courier New" w:hAnsi="Courier New"/>
          <w:b/>
          <w:bCs/>
          <w:color w:val="1B2A4A"/>
          <w:sz w:val="18"/>
          <w:szCs w:val="18"/>
        </w:rPr>
        <w:t xml:space="preserve">§16.6  </w:t>
      </w:r>
      <w:r>
        <w:rPr>
          <w:rFonts w:ascii="Garamond" w:cs="Garamond" w:eastAsia="Garamond" w:hAnsi="Garamond"/>
          <w:b/>
          <w:bCs/>
          <w:i w:val="false"/>
          <w:iCs w:val="false"/>
          <w:color w:val="1B2A4A"/>
          <w:sz w:val="22"/>
          <w:szCs w:val="22"/>
        </w:rPr>
        <w:t xml:space="preserve">Treaty Supremacy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w:t>
      </w:r>
    </w:p>
    <w:p>
      <w:pPr>
        <w:spacing w:after="60" w:before="200"/>
        <w:ind w:left="431"/>
        <w:jc w:val="left"/>
      </w:pPr>
      <w:r>
        <w:rPr>
          <w:rFonts w:ascii="Courier New" w:cs="Courier New" w:eastAsia="Courier New" w:hAnsi="Courier New"/>
          <w:b/>
          <w:bCs/>
          <w:color w:val="1B2A4A"/>
          <w:sz w:val="18"/>
          <w:szCs w:val="18"/>
        </w:rPr>
        <w:t xml:space="preserve">§16.7  </w:t>
      </w:r>
      <w:r>
        <w:rPr>
          <w:rFonts w:ascii="Garamond" w:cs="Garamond" w:eastAsia="Garamond" w:hAnsi="Garamond"/>
          <w:b/>
          <w:bCs/>
          <w:i w:val="false"/>
          <w:iCs w:val="false"/>
          <w:color w:val="1B2A4A"/>
          <w:sz w:val="22"/>
          <w:szCs w:val="22"/>
        </w:rPr>
        <w:t xml:space="preserve">Indigenous Nation Status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with an established compact under Article XVI holds the constitutional right to initiate a status transition through its own democratic or traditional governance process. Three status options are available: (a) Compact Status — continued Article XVI compact relationship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pPr>
        <w:spacing w:after="60" w:before="200"/>
        <w:ind w:left="431"/>
        <w:jc w:val="left"/>
      </w:pPr>
      <w:r>
        <w:rPr>
          <w:rFonts w:ascii="Courier New" w:cs="Courier New" w:eastAsia="Courier New" w:hAnsi="Courier New"/>
          <w:b/>
          <w:bCs/>
          <w:color w:val="1B2A4A"/>
          <w:sz w:val="18"/>
          <w:szCs w:val="18"/>
        </w:rPr>
        <w:t xml:space="preserve">§16.7.a  </w:t>
      </w:r>
      <w:r>
        <w:rPr>
          <w:rFonts w:ascii="Garamond" w:cs="Garamond" w:eastAsia="Garamond" w:hAnsi="Garamond"/>
          <w:b/>
          <w:bCs/>
          <w:i w:val="false"/>
          <w:iCs w:val="false"/>
          <w:color w:val="1B2A4A"/>
          <w:sz w:val="22"/>
          <w:szCs w:val="22"/>
        </w:rPr>
        <w:t xml:space="preserve">Status Election Process</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 status election is irrevocable — a Nation that elects Territorial Integration or Full Sovereign Independence may not subsequently return to Article XVI compact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compact status has no special pathway back to compact status;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compact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compact nations of their rights under §16.7.</w:t>
      </w:r>
    </w:p>
    <w:p>
      <w:pPr>
        <w:spacing w:after="60" w:before="200"/>
        <w:jc w:val="left"/>
      </w:pPr>
      <w:r>
        <w:rPr>
          <w:rFonts w:ascii="Garamond" w:cs="Garamond" w:eastAsia="Garamond" w:hAnsi="Garamond"/>
          <w:b/>
          <w:bCs/>
          <w:i w:val="false"/>
          <w:iCs w:val="false"/>
          <w:color w:val="1B2A4A"/>
          <w:sz w:val="34"/>
          <w:szCs w:val="34"/>
        </w:rPr>
        <w:t xml:space="preserve">Article XVII — Constitutional Amendments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§17.1  </w:t>
      </w:r>
      <w:r>
        <w:rPr>
          <w:rFonts w:ascii="Garamond" w:cs="Garamond" w:eastAsia="Garamond" w:hAnsi="Garamond"/>
          <w:b/>
          <w:bCs/>
          <w:i w:val="false"/>
          <w:iCs w:val="false"/>
          <w:color w:val="1B2A4A"/>
          <w:sz w:val="22"/>
          <w:szCs w:val="22"/>
        </w:rPr>
        <w:t xml:space="preserve">Amendment Paths</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Any proposed constitutional amendment supported by a petition of at least 15% of eligible voters, as verified by the Elections Panel, proceeds directly to a national referendum. Passage requires 70% of votes cast with a minimum 65% citizen participation; where the participation floor is not met the initiative fails and may not be resubmitted on the same or substantially similar grounds for five years. No legislative or executive action is required to place the initiative on the ballot; the Elections Panel administers the referendum within 180 days of Elections Panel petition verification. Citizen initiative amendments are subject to §17.3 consistency analysis by the LM, advisory only. Amendment of the following provisions requires Popular Ratification regardless of the amendment’s origin: the Monitor selection mechanisms and independence protections (§9.2–§9.5), the Monitor information-only mandate and non-dependency principle (§9.1), the Monitor funding guarantee (§9.10), the NRS architecture and permanence requirements (§10.1), and the Elections Panel and NRS Panel independence (§11.1). These provisions may not be amended by State Ratification alone.</w:t>
      </w:r>
    </w:p>
    <w:p>
      <w:pPr>
        <w:spacing w:after="60" w:before="200"/>
        <w:ind w:left="431"/>
        <w:jc w:val="left"/>
      </w:pPr>
      <w:r>
        <w:rPr>
          <w:rFonts w:ascii="Courier New" w:cs="Courier New" w:eastAsia="Courier New" w:hAnsi="Courier New"/>
          <w:b/>
          <w:bCs/>
          <w:color w:val="1B2A4A"/>
          <w:sz w:val="18"/>
          <w:szCs w:val="18"/>
        </w:rPr>
        <w:t xml:space="preserve">§17.2  </w:t>
      </w:r>
      <w:r>
        <w:rPr>
          <w:rFonts w:ascii="Garamond" w:cs="Garamond" w:eastAsia="Garamond" w:hAnsi="Garamond"/>
          <w:b/>
          <w:bCs/>
          <w:i w:val="false"/>
          <w:iCs w:val="false"/>
          <w:color w:val="1B2A4A"/>
          <w:sz w:val="22"/>
          <w:szCs w:val="22"/>
        </w:rPr>
        <w:t xml:space="preserve">No Executive Veto; Amendment Takes Effect</w:t>
      </w:r>
    </w:p>
    <w:p>
      <w:pPr>
        <w:spacing w:after="120" w:before="0"/>
        <w:ind w:left="431"/>
        <w:jc w:val="both"/>
      </w:pPr>
      <w:r>
        <w:rPr>
          <w:rFonts w:ascii="Garamond" w:cs="Garamond" w:eastAsia="Garamond" w:hAnsi="Garamond"/>
          <w:b w:val="false"/>
          <w:bCs w:val="false"/>
          <w:i w:val="false"/>
          <w:iCs w:val="false"/>
          <w:color w:val="2a2520"/>
          <w:sz w:val="22"/>
          <w:szCs w:val="22"/>
        </w:rPr>
        <w:t xml:space="preserve">Neither the Legat Consul nor the Civic Consul has any role in the constitutional amendment process. No signature required. No veto available. An amendment takes effect immediately upon LM certification (State Ratification) or Elections Panel certification (Popular Ratification) and NRS publication — no implementation delay, no executive discretion over timing.</w:t>
      </w:r>
    </w:p>
    <w:p>
      <w:pPr>
        <w:spacing w:after="60" w:before="200"/>
        <w:ind w:left="431"/>
        <w:jc w:val="left"/>
      </w:pPr>
      <w:r>
        <w:rPr>
          <w:rFonts w:ascii="Courier New" w:cs="Courier New" w:eastAsia="Courier New" w:hAnsi="Courier New"/>
          <w:b/>
          <w:bCs/>
          <w:color w:val="1B2A4A"/>
          <w:sz w:val="18"/>
          <w:szCs w:val="18"/>
        </w:rPr>
        <w:t xml:space="preserve">§17.3  </w:t>
      </w:r>
      <w:r>
        <w:rPr>
          <w:rFonts w:ascii="Garamond" w:cs="Garamond" w:eastAsia="Garamond" w:hAnsi="Garamond"/>
          <w:b/>
          <w:bCs/>
          <w:i w:val="false"/>
          <w:iCs w:val="false"/>
          <w:color w:val="1B2A4A"/>
          <w:sz w:val="22"/>
          <w:szCs w:val="22"/>
        </w:rPr>
        <w:t xml:space="preserve">Amendment Consistency and Supremacy</w:t>
      </w:r>
    </w:p>
    <w:p>
      <w:pPr>
        <w:spacing w:after="120" w:before="0"/>
        <w:ind w:left="431"/>
        <w:jc w:val="both"/>
      </w:pPr>
      <w:r>
        <w:rPr>
          <w:rFonts w:ascii="Garamond" w:cs="Garamond" w:eastAsia="Garamond" w:hAnsi="Garamond"/>
          <w:b w:val="false"/>
          <w:bCs w:val="false"/>
          <w:i w:val="false"/>
          <w:iCs w:val="false"/>
          <w:color w:val="2a2520"/>
          <w:sz w:val="22"/>
          <w:szCs w:val="22"/>
        </w:rPr>
        <w:t xml:space="preserve">An amendment that is logically inconsistent with an existing provision must either explicitly repeal the inconsistent provision or the inconsistency is treated as void. The LM publishes a consistency analysis of any proposed amendment within 30 days of passage by both chambers for a parliamentary amendment, or within 30 days of LM petition verification for a citizen initiative amendment — advisory, but a permanent public record of what the amendment changes. If a ratified amendment's consistency with existing provisions is disputed, the SC resolves the dispute on expedited review;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pPr>
        <w:spacing w:after="60" w:before="200"/>
        <w:ind w:left="431"/>
        <w:jc w:val="left"/>
      </w:pPr>
      <w:r>
        <w:rPr>
          <w:rFonts w:ascii="Courier New" w:cs="Courier New" w:eastAsia="Courier New" w:hAnsi="Courier New"/>
          <w:b/>
          <w:bCs/>
          <w:color w:val="1B2A4A"/>
          <w:sz w:val="18"/>
          <w:szCs w:val="18"/>
        </w:rPr>
        <w:t xml:space="preserve">§17.4  </w:t>
      </w:r>
      <w:r>
        <w:rPr>
          <w:rFonts w:ascii="Garamond" w:cs="Garamond" w:eastAsia="Garamond" w:hAnsi="Garamond"/>
          <w:b/>
          <w:bCs/>
          <w:i w:val="false"/>
          <w:iCs w:val="false"/>
          <w:color w:val="1B2A4A"/>
          <w:sz w:val="22"/>
          <w:szCs w:val="22"/>
        </w:rPr>
        <w:t xml:space="preserve">Supremacy of This Constitution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pPr>
        <w:spacing w:after="60" w:before="200"/>
        <w:jc w:val="left"/>
      </w:pPr>
      <w:r>
        <w:rPr>
          <w:rFonts w:ascii="Garamond" w:cs="Garamond" w:eastAsia="Garamond" w:hAnsi="Garamond"/>
          <w:b/>
          <w:bCs/>
          <w:i w:val="false"/>
          <w:iCs w:val="false"/>
          <w:color w:val="1B2A4A"/>
          <w:sz w:val="34"/>
          <w:szCs w:val="34"/>
        </w:rPr>
        <w:t xml:space="preserve">Article XVIII — Federal Property and National Trust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§18.1  </w:t>
      </w:r>
      <w:r>
        <w:rPr>
          <w:rFonts w:ascii="Garamond" w:cs="Garamond" w:eastAsia="Garamond" w:hAnsi="Garamond"/>
          <w:b/>
          <w:bCs/>
          <w:i w:val="false"/>
          <w:iCs w:val="false"/>
          <w:color w:val="1B2A4A"/>
          <w:sz w:val="22"/>
          <w:szCs w:val="22"/>
        </w:rPr>
        <w:t xml:space="preserve">The Use Doctrine</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w:t>
      </w:r>
    </w:p>
    <w:p>
      <w:pPr>
        <w:spacing w:after="60" w:before="200"/>
        <w:ind w:left="431"/>
        <w:jc w:val="left"/>
      </w:pPr>
      <w:r>
        <w:rPr>
          <w:rFonts w:ascii="Courier New" w:cs="Courier New" w:eastAsia="Courier New" w:hAnsi="Courier New"/>
          <w:b/>
          <w:bCs/>
          <w:color w:val="1B2A4A"/>
          <w:sz w:val="18"/>
          <w:szCs w:val="18"/>
        </w:rPr>
        <w:t xml:space="preserve">§18.2  </w:t>
      </w:r>
      <w:r>
        <w:rPr>
          <w:rFonts w:ascii="Garamond" w:cs="Garamond" w:eastAsia="Garamond" w:hAnsi="Garamond"/>
          <w:b/>
          <w:bCs/>
          <w:i w:val="false"/>
          <w:iCs w:val="false"/>
          <w:color w:val="1B2A4A"/>
          <w:sz w:val="22"/>
          <w:szCs w:val="22"/>
        </w:rPr>
        <w:t xml:space="preserve">Seat of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no territorial sovereignty at its Seat of Government. The Seat is hosted by a State or Territory selected through a competitive bid process. The Civic Consul publishes a Requirements Specification to the NRS defining minimum functional, security, physical, and operational requirements; the Legislature establishes specific standards by statute. Any State or Territory may submit a bid; the Legislature selects one by ordinary statute. The hosting arrangement grants the federal government Operational Use Rights over the designated footprint;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federal government must issue a new call for bids every twenty years; if no bids are submitted, or if bids are submitted but none meet the published Requirements Specification, the existing arrangement continues and the Legislature may revise the Specification for the next cycle. When the Seat moves to a new host, a two-year transition window begins; prior improvements revert to the departing host with the land unless a retention agreement is reached within the statutory window.</w:t>
      </w:r>
    </w:p>
    <w:p>
      <w:pPr>
        <w:spacing w:after="60" w:before="200"/>
        <w:ind w:left="431"/>
        <w:jc w:val="left"/>
      </w:pPr>
      <w:r>
        <w:rPr>
          <w:rFonts w:ascii="Courier New" w:cs="Courier New" w:eastAsia="Courier New" w:hAnsi="Courier New"/>
          <w:b/>
          <w:bCs/>
          <w:color w:val="1B2A4A"/>
          <w:sz w:val="18"/>
          <w:szCs w:val="18"/>
        </w:rPr>
        <w:t xml:space="preserve">§18.3  </w:t>
      </w:r>
      <w:r>
        <w:rPr>
          <w:rFonts w:ascii="Garamond" w:cs="Garamond" w:eastAsia="Garamond" w:hAnsi="Garamond"/>
          <w:b/>
          <w:bCs/>
          <w:i w:val="false"/>
          <w:iCs w:val="false"/>
          <w:color w:val="1B2A4A"/>
          <w:sz w:val="22"/>
          <w:szCs w:val="22"/>
        </w:rPr>
        <w:t xml:space="preserve">Operational Use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or improvement valuation go to the SC on an expedited track; neither party may occupy or alter disputed land during pending resolution.</w:t>
      </w:r>
    </w:p>
    <w:p>
      <w:pPr>
        <w:spacing w:after="60" w:before="200"/>
        <w:ind w:left="431"/>
        <w:jc w:val="left"/>
      </w:pPr>
      <w:r>
        <w:rPr>
          <w:rFonts w:ascii="Courier New" w:cs="Courier New" w:eastAsia="Courier New" w:hAnsi="Courier New"/>
          <w:b/>
          <w:bCs/>
          <w:color w:val="1B2A4A"/>
          <w:sz w:val="18"/>
          <w:szCs w:val="18"/>
        </w:rPr>
        <w:t xml:space="preserve">§18.4  </w:t>
      </w:r>
      <w:r>
        <w:rPr>
          <w:rFonts w:ascii="Garamond" w:cs="Garamond" w:eastAsia="Garamond" w:hAnsi="Garamond"/>
          <w:b/>
          <w:bCs/>
          <w:i w:val="false"/>
          <w:iCs w:val="false"/>
          <w:color w:val="1B2A4A"/>
          <w:sz w:val="22"/>
          <w:szCs w:val="22"/>
        </w:rPr>
        <w:t xml:space="preserve">The National Trust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threshold plus SC review within 60 days confirming compliance with any applicable international obligations.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pPr>
        <w:spacing w:after="60" w:before="200"/>
        <w:ind w:left="431"/>
        <w:jc w:val="left"/>
      </w:pPr>
      <w:r>
        <w:rPr>
          <w:rFonts w:ascii="Courier New" w:cs="Courier New" w:eastAsia="Courier New" w:hAnsi="Courier New"/>
          <w:b/>
          <w:bCs/>
          <w:color w:val="1B2A4A"/>
          <w:sz w:val="18"/>
          <w:szCs w:val="18"/>
        </w:rPr>
        <w:t xml:space="preserve">§18.5  </w:t>
      </w:r>
      <w:r>
        <w:rPr>
          <w:rFonts w:ascii="Garamond" w:cs="Garamond" w:eastAsia="Garamond" w:hAnsi="Garamond"/>
          <w:b/>
          <w:bCs/>
          <w:i w:val="false"/>
          <w:iCs w:val="false"/>
          <w:color w:val="1B2A4A"/>
          <w:sz w:val="22"/>
          <w:szCs w:val="22"/>
        </w:rPr>
        <w:t xml:space="preserve">Federal Property in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operational use rights in Territories follow the same framework as in States under §18.3 and §18.4. Host State legislative consent is not required because Territories have no State legislature;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pPr>
        <w:spacing w:after="60" w:before="200"/>
        <w:jc w:val="left"/>
      </w:pPr>
      <w:r>
        <w:rPr>
          <w:rFonts w:ascii="Garamond" w:cs="Garamond" w:eastAsia="Garamond" w:hAnsi="Garamond"/>
          <w:b/>
          <w:bCs/>
          <w:i w:val="false"/>
          <w:iCs w:val="false"/>
          <w:color w:val="1B2A4A"/>
          <w:sz w:val="34"/>
          <w:szCs w:val="34"/>
        </w:rPr>
        <w:t xml:space="preserve">Article XIX — Transition and Ratification</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§19.1  </w:t>
      </w:r>
      <w:r>
        <w:rPr>
          <w:rFonts w:ascii="Garamond" w:cs="Garamond" w:eastAsia="Garamond" w:hAnsi="Garamond"/>
          <w:b/>
          <w:bCs/>
          <w:i w:val="false"/>
          <w:iCs w:val="false"/>
          <w:color w:val="1B2A4A"/>
          <w:sz w:val="22"/>
          <w:szCs w:val="22"/>
        </w:rPr>
        <w:t xml:space="preserve">Activation Threshold and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takes effect upon: (1) interim Elections Panel certification that the NVS is operational and meets §11.2; and (2) a national ratification vote achieving 60% affirmative support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w:t>
      </w:r>
    </w:p>
    <w:p>
      <w:pPr>
        <w:spacing w:after="60" w:before="200"/>
        <w:ind w:left="431"/>
        <w:jc w:val="left"/>
      </w:pPr>
      <w:r>
        <w:rPr>
          <w:rFonts w:ascii="Courier New" w:cs="Courier New" w:eastAsia="Courier New" w:hAnsi="Courier New"/>
          <w:b/>
          <w:bCs/>
          <w:color w:val="1B2A4A"/>
          <w:sz w:val="18"/>
          <w:szCs w:val="18"/>
        </w:rPr>
        <w:t xml:space="preserve">§19.2  </w:t>
      </w:r>
      <w:r>
        <w:rPr>
          <w:rFonts w:ascii="Garamond" w:cs="Garamond" w:eastAsia="Garamond" w:hAnsi="Garamond"/>
          <w:b/>
          <w:bCs/>
          <w:i w:val="false"/>
          <w:iCs w:val="false"/>
          <w:color w:val="1B2A4A"/>
          <w:sz w:val="22"/>
          <w:szCs w:val="22"/>
        </w:rPr>
        <w:t xml:space="preserve">Day Zero and Transition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pPr>
        <w:spacing w:after="60" w:before="200"/>
        <w:ind w:left="431"/>
        <w:jc w:val="left"/>
      </w:pPr>
      <w:r>
        <w:rPr>
          <w:rFonts w:ascii="Courier New" w:cs="Courier New" w:eastAsia="Courier New" w:hAnsi="Courier New"/>
          <w:b/>
          <w:bCs/>
          <w:color w:val="1B2A4A"/>
          <w:sz w:val="18"/>
          <w:szCs w:val="18"/>
        </w:rPr>
        <w:t xml:space="preserve">§19.3  </w:t>
      </w:r>
      <w:r>
        <w:rPr>
          <w:rFonts w:ascii="Garamond" w:cs="Garamond" w:eastAsia="Garamond" w:hAnsi="Garamond"/>
          <w:b/>
          <w:bCs/>
          <w:i w:val="false"/>
          <w:iCs w:val="false"/>
          <w:color w:val="1B2A4A"/>
          <w:sz w:val="22"/>
          <w:szCs w:val="22"/>
        </w:rPr>
        <w:t xml:space="preserve">Caretaker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existing government officials serve as caretakers during the Transition Window — restricted to maintaining existing services only; no new permanent legislation.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pPr>
        <w:spacing w:after="60" w:before="200"/>
        <w:ind w:left="431"/>
        <w:jc w:val="left"/>
      </w:pPr>
      <w:r>
        <w:rPr>
          <w:rFonts w:ascii="Courier New" w:cs="Courier New" w:eastAsia="Courier New" w:hAnsi="Courier New"/>
          <w:b/>
          <w:bCs/>
          <w:color w:val="1B2A4A"/>
          <w:sz w:val="18"/>
          <w:szCs w:val="18"/>
        </w:rPr>
        <w:t xml:space="preserve">§19.4  </w:t>
      </w:r>
      <w:r>
        <w:rPr>
          <w:rFonts w:ascii="Garamond" w:cs="Garamond" w:eastAsia="Garamond" w:hAnsi="Garamond"/>
          <w:b/>
          <w:bCs/>
          <w:i w:val="false"/>
          <w:iCs w:val="false"/>
          <w:color w:val="1B2A4A"/>
          <w:sz w:val="22"/>
          <w:szCs w:val="22"/>
        </w:rPr>
        <w:t xml:space="preserve">Pre-Constitutional Classified Documents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a Classification Review Commission within 90 days of Phase 4 activation.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pPr>
        <w:spacing w:after="60" w:before="200"/>
        <w:ind w:left="431"/>
        <w:jc w:val="left"/>
      </w:pPr>
      <w:r>
        <w:rPr>
          <w:rFonts w:ascii="Courier New" w:cs="Courier New" w:eastAsia="Courier New" w:hAnsi="Courier New"/>
          <w:b/>
          <w:bCs/>
          <w:color w:val="1B2A4A"/>
          <w:sz w:val="18"/>
          <w:szCs w:val="18"/>
        </w:rPr>
        <w:t xml:space="preserve">§19.5  </w:t>
      </w:r>
      <w:r>
        <w:rPr>
          <w:rFonts w:ascii="Garamond" w:cs="Garamond" w:eastAsia="Garamond" w:hAnsi="Garamond"/>
          <w:b/>
          <w:bCs/>
          <w:i w:val="false"/>
          <w:iCs w:val="false"/>
          <w:color w:val="1B2A4A"/>
          <w:sz w:val="22"/>
          <w:szCs w:val="22"/>
        </w:rPr>
        <w:t xml:space="preserve">Pre-Existing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assumes the public debt obligations of its predecessor government as a constitutional matter — it does not inherit a clean slate. Active military operations of the prior government continue under existing authorization until the §2.2 tier framework can apply; the Legat Consul, once inaugurated, must certify each active operation under the appropriate tier within 14 days or begin orderly cessation; operations not certified within 60 days cease unless the Legislature grants a one-time extension.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pPr>
        <w:spacing w:after="60" w:before="200"/>
        <w:ind w:left="431"/>
        <w:jc w:val="left"/>
      </w:pPr>
      <w:r>
        <w:rPr>
          <w:rFonts w:ascii="Courier New" w:cs="Courier New" w:eastAsia="Courier New" w:hAnsi="Courier New"/>
          <w:b/>
          <w:bCs/>
          <w:color w:val="1B2A4A"/>
          <w:sz w:val="18"/>
          <w:szCs w:val="18"/>
        </w:rPr>
        <w:t xml:space="preserve">§19.6  </w:t>
      </w:r>
      <w:r>
        <w:rPr>
          <w:rFonts w:ascii="Garamond" w:cs="Garamond" w:eastAsia="Garamond" w:hAnsi="Garamond"/>
          <w:b/>
          <w:bCs/>
          <w:i w:val="false"/>
          <w:iCs w:val="false"/>
          <w:color w:val="1B2A4A"/>
          <w:sz w:val="22"/>
          <w:szCs w:val="22"/>
        </w:rPr>
        <w:t xml:space="preserve">Transition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Territories or subdivisions meeting the Statehood Audit Competency Baseline by Phase 2 end may petition to enter as State or Territory. Those failing the Baseline enter as Territory and may begin the Statehood Audit immediately. Any territory may choose Territory status by simple legislative vote regardless of whether it meets the Statehood Baseline.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pPr>
        <w:spacing w:after="60" w:before="200"/>
        <w:ind w:left="431"/>
        <w:jc w:val="left"/>
      </w:pPr>
      <w:r>
        <w:rPr>
          <w:rFonts w:ascii="Courier New" w:cs="Courier New" w:eastAsia="Courier New" w:hAnsi="Courier New"/>
          <w:b/>
          <w:bCs/>
          <w:color w:val="1B2A4A"/>
          <w:sz w:val="18"/>
          <w:szCs w:val="18"/>
        </w:rPr>
        <w:t xml:space="preserve">§19.7  </w:t>
      </w:r>
      <w:r>
        <w:rPr>
          <w:rFonts w:ascii="Garamond" w:cs="Garamond" w:eastAsia="Garamond" w:hAnsi="Garamond"/>
          <w:b/>
          <w:bCs/>
          <w:i w:val="false"/>
          <w:iCs w:val="false"/>
          <w:color w:val="1B2A4A"/>
          <w:sz w:val="22"/>
          <w:szCs w:val="22"/>
        </w:rPr>
        <w:t xml:space="preserve">Transition Candidate Registers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w:t>
      </w:r>
    </w:p>
    <w:p>
      <w:pPr>
        <w:spacing w:after="60" w:before="200"/>
        <w:ind w:left="431"/>
        <w:jc w:val="left"/>
      </w:pPr>
      <w:r>
        <w:rPr>
          <w:rFonts w:ascii="Courier New" w:cs="Courier New" w:eastAsia="Courier New" w:hAnsi="Courier New"/>
          <w:b/>
          <w:bCs/>
          <w:color w:val="1B2A4A"/>
          <w:sz w:val="18"/>
          <w:szCs w:val="18"/>
        </w:rPr>
        <w:t xml:space="preserve">§19.8  </w:t>
      </w:r>
      <w:r>
        <w:rPr>
          <w:rFonts w:ascii="Garamond" w:cs="Garamond" w:eastAsia="Garamond" w:hAnsi="Garamond"/>
          <w:b/>
          <w:bCs/>
          <w:i w:val="false"/>
          <w:iCs w:val="false"/>
          <w:color w:val="1B2A4A"/>
          <w:sz w:val="22"/>
          <w:szCs w:val="22"/>
        </w:rPr>
        <w:t xml:space="preserve">Transitional Accountability Mechanism</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ratifying polity’s predecessor government has documented constitutional violations, the Legislature may by statute passed by 2/3 of both chambers establish a Transitional Accountability Mechanism. Such a mechanism must be time-limited,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pPr>
        <w:spacing w:after="60" w:before="200"/>
        <w:ind w:left="431"/>
        <w:jc w:val="left"/>
      </w:pPr>
      <w:r>
        <w:rPr>
          <w:rFonts w:ascii="Courier New" w:cs="Courier New" w:eastAsia="Courier New" w:hAnsi="Courier New"/>
          <w:b/>
          <w:bCs/>
          <w:color w:val="1B2A4A"/>
          <w:sz w:val="18"/>
          <w:szCs w:val="18"/>
        </w:rPr>
        <w:t xml:space="preserve">§19.9  </w:t>
      </w:r>
      <w:r>
        <w:rPr>
          <w:rFonts w:ascii="Garamond" w:cs="Garamond" w:eastAsia="Garamond" w:hAnsi="Garamond"/>
          <w:b/>
          <w:bCs/>
          <w:i w:val="false"/>
          <w:iCs w:val="false"/>
          <w:color w:val="1B2A4A"/>
          <w:sz w:val="22"/>
          <w:szCs w:val="22"/>
        </w:rPr>
        <w:t xml:space="preserve">Required Statutory Agency Establishment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this Constitution assigns a specific function to a statutory independent agency under §3.9, the Legislature must establish that agency within the following timeframes from Phase 4 activation: the civic proficiency assessment administrator under §5.1.a,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w:t>
      </w:r>
    </w:p>
    <w:p>
      <w:pPr>
        <w:spacing w:after="60" w:before="200"/>
        <w:jc w:val="left"/>
      </w:pPr>
      <w:r>
        <w:rPr>
          <w:rFonts w:ascii="Garamond" w:cs="Garamond" w:eastAsia="Garamond" w:hAnsi="Garamond"/>
          <w:b/>
          <w:bCs/>
          <w:i w:val="false"/>
          <w:iCs w:val="false"/>
          <w:color w:val="1B2A4A"/>
          <w:sz w:val="34"/>
          <w:szCs w:val="34"/>
        </w:rPr>
        <w:t xml:space="preserve">Article XX — Associated Communities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§20.1  </w:t>
      </w:r>
      <w:r>
        <w:rPr>
          <w:rFonts w:ascii="Garamond" w:cs="Garamond" w:eastAsia="Garamond" w:hAnsi="Garamond"/>
          <w:b/>
          <w:bCs/>
          <w:i w:val="false"/>
          <w:iCs w:val="false"/>
          <w:color w:val="1B2A4A"/>
          <w:sz w:val="22"/>
          <w:szCs w:val="22"/>
        </w:rPr>
        <w:t xml:space="preserve">Associated Community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Exclusively for sovereign entities — not a form of State or Territory status, not transitional, not incorporation. Available to sovereign nations — those that have achieved full sovereignty through a status election under §16.7, through the constitutional amendment process, or recognized as pre-existing sovereigns under Article XVI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pPr>
        <w:spacing w:after="60" w:before="200"/>
        <w:ind w:left="431"/>
        <w:jc w:val="left"/>
      </w:pPr>
      <w:r>
        <w:rPr>
          <w:rFonts w:ascii="Courier New" w:cs="Courier New" w:eastAsia="Courier New" w:hAnsi="Courier New"/>
          <w:b/>
          <w:bCs/>
          <w:color w:val="1B2A4A"/>
          <w:sz w:val="18"/>
          <w:szCs w:val="18"/>
        </w:rPr>
        <w:t xml:space="preserve">§20.2  </w:t>
      </w:r>
      <w:r>
        <w:rPr>
          <w:rFonts w:ascii="Garamond" w:cs="Garamond" w:eastAsia="Garamond" w:hAnsi="Garamond"/>
          <w:b/>
          <w:bCs/>
          <w:i w:val="false"/>
          <w:iCs w:val="false"/>
          <w:color w:val="1B2A4A"/>
          <w:sz w:val="22"/>
          <w:szCs w:val="22"/>
        </w:rPr>
        <w:t xml:space="preserve">Compact Terms and Equal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jc w:val="left"/>
      </w:pPr>
      <w:r>
        <w:rPr>
          <w:rFonts w:ascii="Courier New" w:cs="Courier New" w:eastAsia="Courier New" w:hAnsi="Courier New"/>
          <w:b/>
          <w:bCs/>
          <w:color w:val="1B2A4A"/>
          <w:sz w:val="18"/>
          <w:szCs w:val="18"/>
        </w:rPr>
        <w:t xml:space="preserve">§20.3  </w:t>
      </w:r>
      <w:r>
        <w:rPr>
          <w:rFonts w:ascii="Garamond" w:cs="Garamond" w:eastAsia="Garamond" w:hAnsi="Garamond"/>
          <w:b/>
          <w:bCs/>
          <w:i w:val="false"/>
          <w:iCs w:val="false"/>
          <w:color w:val="1B2A4A"/>
          <w:sz w:val="22"/>
          <w:szCs w:val="22"/>
        </w:rPr>
        <w:t xml:space="preserve">Compact Conditions and Compliance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SC review; the SC may terminate the compact on confirmed violations without remediation within the period the Legislature defines by statute.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Under §9.1, either chamber may request a JM assessment of compact compliance before proceeding to ratification. Compact suspension means the Associated Community's observer delegate participation rights are suspended for the duration of the review; all other compact obligations of both parties continue in effect pending the SC's determination.</w:t>
      </w:r>
    </w:p>
    <w:p>
      <w:pPr>
        <w:spacing w:after="60" w:before="200"/>
        <w:ind w:left="431"/>
        <w:jc w:val="left"/>
      </w:pPr>
      <w:r>
        <w:rPr>
          <w:rFonts w:ascii="Courier New" w:cs="Courier New" w:eastAsia="Courier New" w:hAnsi="Courier New"/>
          <w:b/>
          <w:bCs/>
          <w:color w:val="1B2A4A"/>
          <w:sz w:val="18"/>
          <w:szCs w:val="18"/>
        </w:rPr>
        <w:t xml:space="preserve">§20.4  </w:t>
      </w:r>
      <w:r>
        <w:rPr>
          <w:rFonts w:ascii="Garamond" w:cs="Garamond" w:eastAsia="Garamond" w:hAnsi="Garamond"/>
          <w:b/>
          <w:bCs/>
          <w:i w:val="false"/>
          <w:iCs w:val="false"/>
          <w:color w:val="1B2A4A"/>
          <w:sz w:val="22"/>
          <w:szCs w:val="22"/>
        </w:rPr>
        <w:t xml:space="preserve">Sovereign Mobility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jc w:val="left"/>
      </w:pPr>
      <w:r>
        <w:rPr>
          <w:rFonts w:ascii="Courier New" w:cs="Courier New" w:eastAsia="Courier New" w:hAnsi="Courier New"/>
          <w:b/>
          <w:bCs/>
          <w:color w:val="1B2A4A"/>
          <w:sz w:val="18"/>
          <w:szCs w:val="18"/>
        </w:rPr>
        <w:t xml:space="preserve">§20.5  </w:t>
      </w:r>
      <w:r>
        <w:rPr>
          <w:rFonts w:ascii="Garamond" w:cs="Garamond" w:eastAsia="Garamond" w:hAnsi="Garamond"/>
          <w:b/>
          <w:bCs/>
          <w:i w:val="false"/>
          <w:iCs w:val="false"/>
          <w:color w:val="1B2A4A"/>
          <w:sz w:val="22"/>
          <w:szCs w:val="22"/>
        </w:rPr>
        <w:t xml:space="preserve">Reciprocal Obligations and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jc w:val="left"/>
      </w:pPr>
      <w:r>
        <w:rPr>
          <w:rFonts w:ascii="Courier New" w:cs="Courier New" w:eastAsia="Courier New" w:hAnsi="Courier New"/>
          <w:b/>
          <w:bCs/>
          <w:color w:val="1B2A4A"/>
          <w:sz w:val="18"/>
          <w:szCs w:val="18"/>
        </w:rPr>
        <w:t xml:space="preserve">§20.6  </w:t>
      </w:r>
      <w:r>
        <w:rPr>
          <w:rFonts w:ascii="Garamond" w:cs="Garamond" w:eastAsia="Garamond" w:hAnsi="Garamond"/>
          <w:b/>
          <w:bCs/>
          <w:i w:val="false"/>
          <w:iCs w:val="false"/>
          <w:color w:val="1B2A4A"/>
          <w:sz w:val="22"/>
          <w:szCs w:val="22"/>
        </w:rPr>
        <w:t xml:space="preserve">Compact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pPr>
        <w:spacing w:after="60" w:before="200"/>
        <w:ind w:left="431"/>
        <w:jc w:val="left"/>
      </w:pPr>
      <w:r>
        <w:rPr>
          <w:rFonts w:ascii="Courier New" w:cs="Courier New" w:eastAsia="Courier New" w:hAnsi="Courier New"/>
          <w:b/>
          <w:bCs/>
          <w:color w:val="1B2A4A"/>
          <w:sz w:val="18"/>
          <w:szCs w:val="18"/>
        </w:rPr>
        <w:t xml:space="preserve">§20.7  </w:t>
      </w:r>
      <w:r>
        <w:rPr>
          <w:rFonts w:ascii="Garamond" w:cs="Garamond" w:eastAsia="Garamond" w:hAnsi="Garamond"/>
          <w:b/>
          <w:bCs/>
          <w:i w:val="false"/>
          <w:iCs w:val="false"/>
          <w:color w:val="1B2A4A"/>
          <w:sz w:val="22"/>
          <w:szCs w:val="22"/>
        </w:rPr>
        <w:t xml:space="preserve">Compact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6"/>
      </w:pBdr>
      <w:tabs>
        <w:tab w:val="right" w:pos="9026"/>
      </w:tabs>
      <w:spacing w:before="120"/>
    </w:pPr>
    <w:r>
      <w:rPr>
        <w:rFonts w:ascii="Courier New" w:cs="Courier New" w:eastAsia="Courier New" w:hAnsi="Courier New"/>
        <w:b w:val="false"/>
        <w:bCs w:val="false"/>
        <w:color w:val="7a7060"/>
        <w:sz w:val="16"/>
        <w:szCs w:val="16"/>
      </w:rPr>
      <w:t xml:space="preserve">thefederatedrepublic.org</w:t>
    </w:r>
    <w:r>
      <w:rPr>
        <w:rFonts w:ascii="Courier New" w:cs="Courier New" w:eastAsia="Courier New" w:hAnsi="Courier New"/>
        <w:sz w:val="16"/>
        <w:szCs w:val="16"/>
      </w:rPr>
      <w:t xml:space="preserve">	</w:t>
    </w:r>
    <w:r>
      <w:rPr>
        <w:rFonts w:ascii="Courier New" w:cs="Courier New" w:eastAsia="Courier New" w:hAnsi="Courier New"/>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6"/>
      </w:pBdr>
      <w:spacing w:after="120"/>
    </w:pPr>
    <w:r>
      <w:rPr>
        <w:rFonts w:ascii="Courier New" w:cs="Courier New" w:eastAsia="Courier New" w:hAnsi="Courier New"/>
        <w:b w:val="false"/>
        <w:bCs w:val="false"/>
        <w:color w:val="7a706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94051c31ef06174dbc68ab8e9916156b6af92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2026-05-23T15:01:16.339Z</dcterms:created>
  <dcterms:modified xsi:type="dcterms:W3CDTF">2026-05-23T15:01:16.350Z</dcterms:modified>
</cp:coreProperties>
</file>

<file path=docProps/custom.xml><?xml version="1.0" encoding="utf-8"?>
<Properties xmlns="http://schemas.openxmlformats.org/officeDocument/2006/custom-properties" xmlns:vt="http://schemas.openxmlformats.org/officeDocument/2006/docPropsVTypes"/>
</file>