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Chiffres</w:t>
      </w:r>
      <w:r>
        <w:t xml:space="preserve"> </w:t>
      </w:r>
      <w:r>
        <w:t xml:space="preserve">clés</w:t>
      </w:r>
      <w:r>
        <w:t xml:space="preserve"> </w:t>
      </w:r>
      <w:r>
        <w:t xml:space="preserve">2014</w:t>
      </w:r>
      <w:r>
        <w:t xml:space="preserve"> </w:t>
      </w:r>
      <w:r>
        <w:t xml:space="preserve">-</w:t>
      </w:r>
      <w:r>
        <w:t xml:space="preserve"> </w:t>
      </w:r>
      <w:r>
        <w:t xml:space="preserve">CH</w:t>
      </w:r>
      <w:r>
        <w:t xml:space="preserve"> </w:t>
      </w:r>
      <w:r>
        <w:t xml:space="preserve">Haguenau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août</w:t>
      </w:r>
      <w:r>
        <w:t xml:space="preserve"> </w:t>
      </w:r>
      <w:r>
        <w:t xml:space="preserve">2015</w:t>
      </w:r>
    </w:p>
    <w:p>
      <w:r>
        <w:t xml:space="preserve">Version mse à jour le:</w:t>
      </w:r>
      <w:r>
        <w:t xml:space="preserve"> </w:t>
      </w:r>
      <w:r>
        <w:rPr>
          <w:b/>
        </w:rPr>
        <w:t xml:space="preserve">Thu Aug 27 21:06:55 2015</w:t>
      </w:r>
    </w:p>
    <w:bookmarkStart w:id="21" w:name="chiffres-cles-du-ch-haguenau-en-2014"/>
    <w:p>
      <w:pPr>
        <w:pStyle w:val="Heading1"/>
      </w:pPr>
      <w:r>
        <w:t xml:space="preserve">Chiffres Clés du CH HAGUENAU en 2014</w:t>
      </w:r>
    </w:p>
    <w:bookmarkEnd w:id="21"/>
    <w:bookmarkStart w:id="22" w:name="recueil-des-donnees"/>
    <w:p>
      <w:pPr>
        <w:pStyle w:val="Heading2"/>
      </w:pPr>
      <w:r>
        <w:t xml:space="preserve">Recueil des données</w:t>
      </w:r>
    </w:p>
    <w:bookmarkEnd w:id="2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 de passages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RPU transmis</w:t>
            </w:r>
          </w:p>
        </w:tc>
        <w:tc>
          <w:p>
            <w:pPr>
              <w:pStyle w:val="Compact"/>
              <w:jc w:val="right"/>
            </w:pPr>
            <w:r>
              <w:t xml:space="preserve">39 938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Evolution 2013/2014</w:t>
            </w:r>
          </w:p>
        </w:tc>
        <w:tc>
          <w:p>
            <w:pPr>
              <w:pStyle w:val="Compact"/>
              <w:jc w:val="right"/>
            </w:pPr>
            <w:r>
              <w:t xml:space="preserve">16.05 %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quotidienne de passage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passages (SAE)</w:t>
            </w:r>
          </w:p>
        </w:tc>
        <w:tc>
          <w:p>
            <w:pPr>
              <w:pStyle w:val="Compact"/>
              <w:jc w:val="right"/>
            </w:pPr>
            <w:r>
              <w:t xml:space="preserve">12 709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Exhaustivité</w:t>
            </w:r>
          </w:p>
        </w:tc>
        <w:tc>
          <w:p>
            <w:pPr>
              <w:pStyle w:val="Compact"/>
              <w:jc w:val="right"/>
            </w:pPr>
            <w:r>
              <w:t xml:space="preserve">90%</w:t>
            </w:r>
          </w:p>
        </w:tc>
      </w:tr>
    </w:tbl>
    <w:bookmarkStart w:id="23" w:name="patients"/>
    <w:p>
      <w:pPr>
        <w:pStyle w:val="Heading2"/>
      </w:pPr>
      <w:r>
        <w:t xml:space="preserve">Patients</w:t>
      </w:r>
    </w:p>
    <w:bookmarkEnd w:id="2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Caractéristiques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sex-ratio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moyen</w:t>
            </w:r>
          </w:p>
        </w:tc>
        <w:tc>
          <w:p>
            <w:pPr>
              <w:pStyle w:val="Compact"/>
              <w:jc w:val="left"/>
            </w:pPr>
            <w:r>
              <w:t xml:space="preserve">41.2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1 ans</w:t>
            </w:r>
          </w:p>
        </w:tc>
        <w:tc>
          <w:p>
            <w:pPr>
              <w:pStyle w:val="Compact"/>
              <w:jc w:val="left"/>
            </w:pPr>
            <w:r>
              <w:t xml:space="preserve">2.79 %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15 ans</w:t>
            </w:r>
          </w:p>
        </w:tc>
        <w:tc>
          <w:p>
            <w:pPr>
              <w:pStyle w:val="Compact"/>
              <w:jc w:val="left"/>
            </w:pPr>
            <w:r>
              <w:t xml:space="preserve">20.7 %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 ans et plus</w:t>
            </w:r>
          </w:p>
        </w:tc>
        <w:tc>
          <w:p>
            <w:pPr>
              <w:pStyle w:val="Compact"/>
              <w:jc w:val="left"/>
            </w:pPr>
            <w:r>
              <w:t xml:space="preserve">17.26 %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hors région</w:t>
            </w:r>
          </w:p>
        </w:tc>
        <w:tc>
          <w:p>
            <w:pPr>
              <w:pStyle w:val="Compact"/>
              <w:jc w:val="left"/>
            </w:pPr>
            <w:r>
              <w:t xml:space="preserve">3.6 %</w:t>
            </w:r>
          </w:p>
        </w:tc>
      </w:tr>
    </w:tbl>
    <w:bookmarkStart w:id="24" w:name="arrivees"/>
    <w:p>
      <w:pPr>
        <w:pStyle w:val="Heading2"/>
      </w:pPr>
      <w:r>
        <w:t xml:space="preserve">Arrivées</w:t>
      </w:r>
    </w:p>
    <w:bookmarkEnd w:id="2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nuit (20h-8h)</w:t>
            </w:r>
          </w:p>
        </w:tc>
        <w:tc>
          <w:p>
            <w:pPr>
              <w:pStyle w:val="Compact"/>
              <w:jc w:val="left"/>
            </w:pPr>
            <w:r>
              <w:t xml:space="preserve">29.46 %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soirée (20h-0H)</w:t>
            </w:r>
          </w:p>
        </w:tc>
        <w:tc>
          <w:p>
            <w:pPr>
              <w:pStyle w:val="Compact"/>
              <w:jc w:val="left"/>
            </w:pPr>
            <w:r>
              <w:t xml:space="preserve">17.28 %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horaire de PDS</w:t>
            </w:r>
          </w:p>
        </w:tc>
        <w:tc>
          <w:p>
            <w:pPr>
              <w:pStyle w:val="Compact"/>
              <w:jc w:val="left"/>
            </w:pPr>
            <w:r>
              <w:t xml:space="preserve">47.84%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Modes d'arrivée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moyens personnels</w:t>
            </w:r>
          </w:p>
        </w:tc>
        <w:tc>
          <w:p>
            <w:pPr>
              <w:pStyle w:val="Compact"/>
              <w:jc w:val="left"/>
            </w:pPr>
            <w:r>
              <w:t xml:space="preserve">62.48%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SMUR</w:t>
            </w:r>
          </w:p>
        </w:tc>
        <w:tc>
          <w:p>
            <w:pPr>
              <w:pStyle w:val="Compact"/>
              <w:jc w:val="left"/>
            </w:pPr>
            <w:r>
              <w:t xml:space="preserve">0.93 %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VSAV</w:t>
            </w:r>
          </w:p>
        </w:tc>
        <w:tc>
          <w:p>
            <w:pPr>
              <w:pStyle w:val="Compact"/>
              <w:jc w:val="left"/>
            </w:pPr>
            <w:r>
              <w:t xml:space="preserve">16.44 %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Ambulances privées</w:t>
            </w:r>
          </w:p>
        </w:tc>
        <w:tc>
          <w:p>
            <w:pPr>
              <w:pStyle w:val="Compact"/>
              <w:jc w:val="left"/>
            </w:pPr>
            <w:r>
              <w:t xml:space="preserve">19.66 %`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1</w:t>
            </w:r>
          </w:p>
        </w:tc>
        <w:tc>
          <w:p>
            <w:pPr>
              <w:pStyle w:val="Compact"/>
              <w:jc w:val="left"/>
            </w:pPr>
            <w:r>
              <w:t xml:space="preserve">10.97 %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2</w:t>
            </w:r>
          </w:p>
        </w:tc>
        <w:tc>
          <w:p>
            <w:pPr>
              <w:pStyle w:val="Compact"/>
              <w:jc w:val="left"/>
            </w:pPr>
            <w:r>
              <w:t xml:space="preserve">72.2 %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3</w:t>
            </w:r>
          </w:p>
        </w:tc>
        <w:tc>
          <w:p>
            <w:pPr>
              <w:pStyle w:val="Compact"/>
              <w:jc w:val="left"/>
            </w:pPr>
            <w:r>
              <w:t xml:space="preserve">15.15 %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4 et 5</w:t>
            </w:r>
          </w:p>
        </w:tc>
        <w:tc>
          <w:p>
            <w:pPr>
              <w:pStyle w:val="Compact"/>
              <w:jc w:val="left"/>
            </w:pPr>
            <w:r>
              <w:t xml:space="preserve">1.62 %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P</w:t>
            </w:r>
          </w:p>
        </w:tc>
        <w:tc>
          <w:p>
            <w:pPr>
              <w:pStyle w:val="Compact"/>
              <w:jc w:val="left"/>
            </w:pPr>
            <w:r>
              <w:t xml:space="preserve">0.03 %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D</w:t>
            </w:r>
          </w:p>
        </w:tc>
        <w:tc>
          <w:p>
            <w:pPr>
              <w:pStyle w:val="Compact"/>
              <w:jc w:val="left"/>
            </w:pPr>
            <w:r>
              <w:t xml:space="preserve">0.02 %</w:t>
            </w:r>
          </w:p>
        </w:tc>
      </w:tr>
    </w:tbl>
    <w:bookmarkStart w:id="25" w:name="diagnostic-principal"/>
    <w:p>
      <w:pPr>
        <w:pStyle w:val="Heading2"/>
      </w:pPr>
      <w:r>
        <w:t xml:space="preserve">Diagnostic Principal</w:t>
      </w:r>
    </w:p>
    <w:bookmarkEnd w:id="2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médico-chirurgical</w:t>
            </w:r>
          </w:p>
        </w:tc>
        <w:tc>
          <w:p>
            <w:pPr>
              <w:pStyle w:val="Compact"/>
              <w:jc w:val="left"/>
            </w:pPr>
            <w:r>
              <w:t xml:space="preserve">53.77 %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traumatologique</w:t>
            </w:r>
          </w:p>
        </w:tc>
        <w:tc>
          <w:p>
            <w:pPr>
              <w:pStyle w:val="Compact"/>
              <w:jc w:val="left"/>
            </w:pPr>
            <w:r>
              <w:t xml:space="preserve">40.13 %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psychiatrique</w:t>
            </w:r>
          </w:p>
        </w:tc>
        <w:tc>
          <w:p>
            <w:pPr>
              <w:pStyle w:val="Compact"/>
              <w:jc w:val="left"/>
            </w:pPr>
            <w:r>
              <w:t xml:space="preserve">2.28 %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toxicologique</w:t>
            </w:r>
          </w:p>
        </w:tc>
        <w:tc>
          <w:p>
            <w:pPr>
              <w:pStyle w:val="Compact"/>
              <w:jc w:val="left"/>
            </w:pPr>
            <w:r>
              <w:t xml:space="preserve">0.91 %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recours</w:t>
            </w:r>
          </w:p>
        </w:tc>
        <w:tc>
          <w:p>
            <w:pPr>
              <w:pStyle w:val="Compact"/>
              <w:jc w:val="left"/>
            </w:pPr>
            <w:r>
              <w:t xml:space="preserve">2.91 %</w:t>
            </w:r>
          </w:p>
        </w:tc>
      </w:tr>
    </w:tbl>
    <w:bookmarkStart w:id="26" w:name="mode-de-sortie"/>
    <w:p>
      <w:pPr>
        <w:pStyle w:val="Heading2"/>
      </w:pPr>
      <w:r>
        <w:t xml:space="preserve">Mode de sortie</w:t>
      </w:r>
    </w:p>
    <w:bookmarkEnd w:id="2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Mutation</w:t>
            </w:r>
          </w:p>
        </w:tc>
        <w:tc>
          <w:p>
            <w:pPr>
              <w:pStyle w:val="Compact"/>
              <w:jc w:val="left"/>
            </w:pPr>
            <w:r>
              <w:t xml:space="preserve">24.6 %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Transfert</w:t>
            </w:r>
          </w:p>
        </w:tc>
        <w:tc>
          <w:p>
            <w:pPr>
              <w:pStyle w:val="Compact"/>
              <w:jc w:val="left"/>
            </w:pPr>
            <w:r>
              <w:t xml:space="preserve">3.55 %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dont UHCD</w:t>
            </w:r>
          </w:p>
        </w:tc>
        <w:tc>
          <w:p>
            <w:pPr>
              <w:pStyle w:val="Compact"/>
              <w:jc w:val="left"/>
            </w:pPr>
            <w:r>
              <w:t xml:space="preserve">49.25 %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Domicile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71.85 %</w:t>
            </w:r>
          </w:p>
        </w:tc>
      </w:tr>
    </w:tbl>
    <w:bookmarkStart w:id="27" w:name="duree"/>
    <w:p>
      <w:pPr>
        <w:pStyle w:val="Heading2"/>
      </w:pPr>
      <w:r>
        <w:t xml:space="preserve">Durée</w:t>
      </w:r>
    </w:p>
    <w:bookmarkEnd w:id="27"/>
    <w:bookmarkStart w:id="28" w:name="tous-age"/>
    <w:p>
      <w:pPr>
        <w:pStyle w:val="Heading3"/>
      </w:pPr>
      <w:r>
        <w:t xml:space="preserve">Tous âge</w:t>
      </w:r>
    </w:p>
    <w:bookmarkEnd w:id="2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Durée de passage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3h36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médiane</w:t>
            </w:r>
          </w:p>
        </w:tc>
        <w:tc>
          <w:p>
            <w:pPr>
              <w:pStyle w:val="Compact"/>
              <w:jc w:val="left"/>
            </w:pPr>
            <w:r>
              <w:t xml:space="preserve">2h31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 de moins de 4 heures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d'une 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8.4 %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 retour à domicile</w:t>
            </w:r>
          </w:p>
        </w:tc>
        <w:tc>
          <w:p>
            <w:pPr>
              <w:pStyle w:val="Compact"/>
              <w:jc w:val="left"/>
            </w:pPr>
            <w:r>
              <w:t xml:space="preserve">62.34 %</w:t>
            </w:r>
          </w:p>
        </w:tc>
      </w:tr>
    </w:tbl>
    <w:bookmarkStart w:id="29" w:name="pour-les-75-ans-ou-plus"/>
    <w:p>
      <w:pPr>
        <w:pStyle w:val="Heading3"/>
      </w:pPr>
      <w:r>
        <w:t xml:space="preserve">Pour les 75 ans ou plus</w:t>
      </w:r>
    </w:p>
    <w:bookmarkEnd w:id="2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Durée de passage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6h23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médiane</w:t>
            </w:r>
          </w:p>
        </w:tc>
        <w:tc>
          <w:p>
            <w:pPr>
              <w:pStyle w:val="Compact"/>
              <w:jc w:val="left"/>
            </w:pPr>
            <w:r>
              <w:t xml:space="preserve">4h44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 de moins de 4 heures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d'une 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17.48 %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 retour à domicile</w:t>
            </w:r>
          </w:p>
        </w:tc>
        <w:tc>
          <w:p>
            <w:pPr>
              <w:pStyle w:val="Compact"/>
              <w:jc w:val="left"/>
            </w:pPr>
            <w:r>
              <w:t xml:space="preserve">21.35 %</w:t>
            </w:r>
          </w:p>
        </w:tc>
      </w:tr>
    </w:tbl>
    <w:bookmarkStart w:id="30" w:name="diagramme-de-completude"/>
    <w:p>
      <w:pPr>
        <w:pStyle w:val="Heading2"/>
      </w:pPr>
      <w:r>
        <w:t xml:space="preserve">Diagramme de complétude</w:t>
      </w:r>
    </w:p>
    <w:bookmarkEnd w:id="30"/>
    <w:p>
      <w:r>
        <w:drawing>
          <wp:inline>
            <wp:extent cx="9753600" cy="731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ffres_cles_hag_files/figure-docx/hag_complet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3efd8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Chiffres clés 2014 - CH Haguenau</dc:title>
  <dc:creator>jcb</dc:creator>
</cp:coreProperties>
</file>