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iffres-clés---ch-wissembourg"/>
      <w:bookmarkEnd w:id="21"/>
      <w:r>
        <w:t xml:space="preserve">Chiffres clés - CH Wissembourg</w:t>
      </w:r>
    </w:p>
    <w:p>
      <w:pPr>
        <w:pStyle w:val="FirstParagraph"/>
      </w:pPr>
      <w:r>
        <w:t xml:space="preserve">RESURAL</w:t>
      </w:r>
      <w:r>
        <w:br w:type="textWrapping"/>
      </w:r>
      <w:r>
        <w:t xml:space="preserve">Août 2015</w:t>
      </w:r>
    </w:p>
    <w:p>
      <w:pPr>
        <w:pStyle w:val="BodyText"/>
      </w:pPr>
      <w:r>
        <w:t xml:space="preserve">Version mise à jour le:</w:t>
      </w:r>
      <w:r>
        <w:t xml:space="preserve"> </w:t>
      </w:r>
      <w:r>
        <w:rPr>
          <w:b/>
        </w:rPr>
        <w:t xml:space="preserve">02/09/2015</w:t>
      </w:r>
    </w:p>
    <w:p>
      <w:pPr>
        <w:pStyle w:val="Heading1"/>
      </w:pPr>
      <w:bookmarkStart w:id="22" w:name="chiffres-clés-du-ch-wissembourg-en-2015"/>
      <w:bookmarkEnd w:id="22"/>
      <w:r>
        <w:t xml:space="preserve">Chiffres Clés du CH WISSEMBOURG en 2015</w:t>
      </w:r>
    </w:p>
    <w:p>
      <w:pPr>
        <w:pStyle w:val="FirstParagraph"/>
      </w:pPr>
      <w:r>
        <w:t xml:space="preserve">Date de point: 31/07/2015</w:t>
      </w:r>
    </w:p>
    <w:p>
      <w:pPr>
        <w:pStyle w:val="Heading2"/>
      </w:pPr>
      <w:bookmarkStart w:id="23" w:name="recueil-des-données"/>
      <w:bookmarkEnd w:id="23"/>
      <w:r>
        <w:t xml:space="preserve">Recueil des données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 de 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RPU transmis</w:t>
            </w:r>
          </w:p>
        </w:tc>
        <w:tc>
          <w:p>
            <w:pPr>
              <w:pStyle w:val="Compact"/>
              <w:jc w:val="right"/>
            </w:pPr>
            <w:r>
              <w:t xml:space="preserve">8 044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Evolution 2014/2015</w:t>
            </w:r>
          </w:p>
        </w:tc>
        <w:tc>
          <w:p>
            <w:pPr>
              <w:pStyle w:val="Compact"/>
              <w:jc w:val="right"/>
            </w:pPr>
            <w:r>
              <w:t xml:space="preserve">6.05 %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quotidienne de passage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passages (SAE)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Exhaustivité</w:t>
            </w:r>
          </w:p>
        </w:tc>
        <w:tc>
          <w:p>
            <w:pPr>
              <w:pStyle w:val="Compact"/>
              <w:jc w:val="right"/>
            </w:pPr>
            <w:r>
              <w:t xml:space="preserve">NA%</w:t>
            </w:r>
          </w:p>
        </w:tc>
      </w:tr>
    </w:tbl>
    <w:p>
      <w:pPr>
        <w:pStyle w:val="Heading2"/>
      </w:pPr>
      <w:bookmarkStart w:id="24" w:name="patients"/>
      <w:bookmarkEnd w:id="24"/>
      <w:r>
        <w:t xml:space="preserve">Patients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Caractéristiques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sex-ratio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moyen</w:t>
            </w:r>
          </w:p>
        </w:tc>
        <w:tc>
          <w:p>
            <w:pPr>
              <w:pStyle w:val="Compact"/>
              <w:jc w:val="left"/>
            </w:pPr>
            <w:r>
              <w:t xml:space="preserve">42.8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 ans</w:t>
            </w:r>
          </w:p>
        </w:tc>
        <w:tc>
          <w:p>
            <w:pPr>
              <w:pStyle w:val="Compact"/>
              <w:jc w:val="left"/>
            </w:pPr>
            <w:r>
              <w:t xml:space="preserve">1.27 %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15 ans</w:t>
            </w:r>
          </w:p>
        </w:tc>
        <w:tc>
          <w:p>
            <w:pPr>
              <w:pStyle w:val="Compact"/>
              <w:jc w:val="left"/>
            </w:pPr>
            <w:r>
              <w:t xml:space="preserve">18.54 %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 ans et plus</w:t>
            </w:r>
          </w:p>
        </w:tc>
        <w:tc>
          <w:p>
            <w:pPr>
              <w:pStyle w:val="Compact"/>
              <w:jc w:val="left"/>
            </w:pPr>
            <w:r>
              <w:t xml:space="preserve">17.22 %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hors région</w:t>
            </w:r>
          </w:p>
        </w:tc>
        <w:tc>
          <w:p>
            <w:pPr>
              <w:pStyle w:val="Compact"/>
              <w:jc w:val="left"/>
            </w:pPr>
            <w:r>
              <w:t xml:space="preserve">3.48 %</w:t>
            </w:r>
          </w:p>
        </w:tc>
      </w:tr>
    </w:tbl>
    <w:p>
      <w:pPr>
        <w:pStyle w:val="Heading2"/>
      </w:pPr>
      <w:bookmarkStart w:id="25" w:name="arrivées"/>
      <w:bookmarkEnd w:id="25"/>
      <w:r>
        <w:t xml:space="preserve">Arrivées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nuit (20h-8h)</w:t>
            </w:r>
          </w:p>
        </w:tc>
        <w:tc>
          <w:p>
            <w:pPr>
              <w:pStyle w:val="Compact"/>
              <w:jc w:val="left"/>
            </w:pPr>
            <w:r>
              <w:t xml:space="preserve">23.47 %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soirée (20h-0H)</w:t>
            </w:r>
          </w:p>
        </w:tc>
        <w:tc>
          <w:p>
            <w:pPr>
              <w:pStyle w:val="Compact"/>
              <w:jc w:val="left"/>
            </w:pPr>
            <w:r>
              <w:t xml:space="preserve">14.92 %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horaire de PDS</w:t>
            </w:r>
          </w:p>
        </w:tc>
        <w:tc>
          <w:p>
            <w:pPr>
              <w:pStyle w:val="Compact"/>
              <w:jc w:val="left"/>
            </w:pPr>
            <w:r>
              <w:t xml:space="preserve">43.04%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Modes d'arrivée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moyens personnels</w:t>
            </w:r>
          </w:p>
        </w:tc>
        <w:tc>
          <w:p>
            <w:pPr>
              <w:pStyle w:val="Compact"/>
              <w:jc w:val="left"/>
            </w:pPr>
            <w:r>
              <w:t xml:space="preserve">77.24%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SMUR</w:t>
            </w:r>
          </w:p>
        </w:tc>
        <w:tc>
          <w:p>
            <w:pPr>
              <w:pStyle w:val="Compact"/>
              <w:jc w:val="left"/>
            </w:pPr>
            <w:r>
              <w:t xml:space="preserve">1.9 %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VSAV</w:t>
            </w:r>
          </w:p>
        </w:tc>
        <w:tc>
          <w:p>
            <w:pPr>
              <w:pStyle w:val="Compact"/>
              <w:jc w:val="left"/>
            </w:pPr>
            <w:r>
              <w:t xml:space="preserve">8.78 %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Ambulances privées</w:t>
            </w:r>
          </w:p>
        </w:tc>
        <w:tc>
          <w:p>
            <w:pPr>
              <w:pStyle w:val="Compact"/>
              <w:jc w:val="left"/>
            </w:pPr>
            <w:r>
              <w:t xml:space="preserve">12.08 %`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1</w:t>
            </w:r>
          </w:p>
        </w:tc>
        <w:tc>
          <w:p>
            <w:pPr>
              <w:pStyle w:val="Compact"/>
              <w:jc w:val="left"/>
            </w:pPr>
            <w:r>
              <w:t xml:space="preserve">5.56 %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2</w:t>
            </w:r>
          </w:p>
        </w:tc>
        <w:tc>
          <w:p>
            <w:pPr>
              <w:pStyle w:val="Compact"/>
              <w:jc w:val="left"/>
            </w:pPr>
            <w:r>
              <w:t xml:space="preserve">85.88 %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3</w:t>
            </w:r>
          </w:p>
        </w:tc>
        <w:tc>
          <w:p>
            <w:pPr>
              <w:pStyle w:val="Compact"/>
              <w:jc w:val="left"/>
            </w:pPr>
            <w:r>
              <w:t xml:space="preserve">6.73 %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4 et 5</w:t>
            </w:r>
          </w:p>
        </w:tc>
        <w:tc>
          <w:p>
            <w:pPr>
              <w:pStyle w:val="Compact"/>
              <w:jc w:val="left"/>
            </w:pPr>
            <w:r>
              <w:t xml:space="preserve">1.46 %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P</w:t>
            </w:r>
          </w:p>
        </w:tc>
        <w:tc>
          <w:p>
            <w:pPr>
              <w:pStyle w:val="Compact"/>
              <w:jc w:val="left"/>
            </w:pPr>
            <w:r>
              <w:t xml:space="preserve">0.36 %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D</w:t>
            </w:r>
          </w:p>
        </w:tc>
        <w:tc>
          <w:p>
            <w:pPr>
              <w:pStyle w:val="Compact"/>
              <w:jc w:val="left"/>
            </w:pPr>
            <w:r>
              <w:t xml:space="preserve">NA %</w:t>
            </w:r>
          </w:p>
        </w:tc>
      </w:tr>
    </w:tbl>
    <w:p>
      <w:pPr>
        <w:pStyle w:val="Heading2"/>
      </w:pPr>
      <w:bookmarkStart w:id="26" w:name="diagnostic-principal"/>
      <w:bookmarkEnd w:id="26"/>
      <w:r>
        <w:t xml:space="preserve">Diagnostic Principal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médico-chirurgical</w:t>
            </w:r>
          </w:p>
        </w:tc>
        <w:tc>
          <w:p>
            <w:pPr>
              <w:pStyle w:val="Compact"/>
              <w:jc w:val="left"/>
            </w:pPr>
            <w:r>
              <w:t xml:space="preserve">52.65 %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traumatologique</w:t>
            </w:r>
          </w:p>
        </w:tc>
        <w:tc>
          <w:p>
            <w:pPr>
              <w:pStyle w:val="Compact"/>
              <w:jc w:val="left"/>
            </w:pPr>
            <w:r>
              <w:t xml:space="preserve">40.42 %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psychiatrique</w:t>
            </w:r>
          </w:p>
        </w:tc>
        <w:tc>
          <w:p>
            <w:pPr>
              <w:pStyle w:val="Compact"/>
              <w:jc w:val="left"/>
            </w:pPr>
            <w:r>
              <w:t xml:space="preserve">2.24 %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toxicologique</w:t>
            </w:r>
          </w:p>
        </w:tc>
        <w:tc>
          <w:p>
            <w:pPr>
              <w:pStyle w:val="Compact"/>
              <w:jc w:val="left"/>
            </w:pPr>
            <w:r>
              <w:t xml:space="preserve">0.99 %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recours</w:t>
            </w:r>
          </w:p>
        </w:tc>
        <w:tc>
          <w:p>
            <w:pPr>
              <w:pStyle w:val="Compact"/>
              <w:jc w:val="left"/>
            </w:pPr>
            <w:r>
              <w:t xml:space="preserve">3.7 %</w:t>
            </w:r>
          </w:p>
        </w:tc>
      </w:tr>
    </w:tbl>
    <w:p>
      <w:pPr>
        <w:pStyle w:val="Heading2"/>
      </w:pPr>
      <w:bookmarkStart w:id="27" w:name="mode-de-sortie"/>
      <w:bookmarkEnd w:id="27"/>
      <w:r>
        <w:t xml:space="preserve">Mode de sortie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  <w:tc>
          <w:p>
            <w:pPr>
              <w:pStyle w:val="Compact"/>
              <w:jc w:val="left"/>
            </w:pPr>
            <w:r>
              <w:t xml:space="preserve">19.89 %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Transfert</w:t>
            </w:r>
          </w:p>
        </w:tc>
        <w:tc>
          <w:p>
            <w:pPr>
              <w:pStyle w:val="Compact"/>
              <w:jc w:val="left"/>
            </w:pPr>
            <w:r>
              <w:t xml:space="preserve">1.91 %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dont UHCD</w:t>
            </w:r>
          </w:p>
        </w:tc>
        <w:tc>
          <w:p>
            <w:pPr>
              <w:pStyle w:val="Compact"/>
              <w:jc w:val="left"/>
            </w:pPr>
            <w:r>
              <w:t xml:space="preserve">8.41 %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Domicile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78.19 %</w:t>
            </w:r>
          </w:p>
        </w:tc>
      </w:tr>
    </w:tbl>
    <w:p>
      <w:pPr>
        <w:pStyle w:val="Heading2"/>
      </w:pPr>
      <w:bookmarkStart w:id="28" w:name="durée"/>
      <w:bookmarkEnd w:id="28"/>
      <w:r>
        <w:t xml:space="preserve">Durée</w:t>
      </w:r>
    </w:p>
    <w:p>
      <w:pPr>
        <w:pStyle w:val="Heading3"/>
      </w:pPr>
      <w:bookmarkStart w:id="29" w:name="tous-âge"/>
      <w:bookmarkEnd w:id="29"/>
      <w:r>
        <w:t xml:space="preserve">Tous âge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1h56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1h23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14.5 %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75.52 %</w:t>
            </w:r>
          </w:p>
        </w:tc>
      </w:tr>
    </w:tbl>
    <w:p>
      <w:pPr>
        <w:pStyle w:val="Heading3"/>
      </w:pPr>
      <w:bookmarkStart w:id="30" w:name="pour-les-75-ans-ou-plus"/>
      <w:bookmarkEnd w:id="30"/>
      <w:r>
        <w:t xml:space="preserve">Pour les 75 ans ou plus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3h7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2h47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43.07 %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32.99 %</w:t>
            </w:r>
          </w:p>
        </w:tc>
      </w:tr>
    </w:tbl>
    <w:p>
      <w:pPr>
        <w:pStyle w:val="Heading1"/>
      </w:pPr>
      <w:bookmarkStart w:id="31" w:name="diagramme-de-complétude"/>
      <w:bookmarkEnd w:id="31"/>
      <w:r>
        <w:t xml:space="preserve">Diagramme de complétude</w:t>
      </w:r>
    </w:p>
    <w:p>
      <w:pPr>
        <w:pStyle w:val="Figure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wis_files/figure-html/compl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courbe-de-production-quotidienne-de-rpu"/>
      <w:bookmarkEnd w:id="33"/>
      <w:r>
        <w:t xml:space="preserve">Courbe de production quotidienne de RPU</w:t>
      </w:r>
    </w:p>
    <w:p>
      <w:pPr>
        <w:pStyle w:val="FirstParagraph"/>
      </w:pPr>
      <w:r>
        <w:t xml:space="preserve">Représentation graphique du nombre de RPU transmis par jour, avec le seuil d'alerte en dessous duquel le nombre de RPU transmis est considéré comme anormal.</w:t>
      </w:r>
    </w:p>
    <w:p>
      <w:pPr>
        <w:pStyle w:val="Figure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wis_files/figure-html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793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