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reprincipal"/>
        <w:spacing w:before="480" w:after="240"/>
        <w:rPr/>
      </w:pPr>
      <w:r>
        <w:rPr/>
        <w:t>Chiffres Clés</w:t>
      </w:r>
    </w:p>
    <w:p>
      <w:pPr>
        <w:pStyle w:val="Author"/>
        <w:rPr/>
      </w:pPr>
      <w:r>
        <w:rPr/>
        <w:t>jcb</w:t>
      </w:r>
    </w:p>
    <w:p>
      <w:pPr>
        <w:pStyle w:val="Date"/>
        <w:rPr/>
      </w:pPr>
      <w:r>
        <w:rPr/>
        <w:t>21 août 2015</w:t>
      </w:r>
    </w:p>
    <w:p>
      <w:pPr>
        <w:pStyle w:val="Normal"/>
        <w:rPr>
          <w:b/>
        </w:rPr>
      </w:pPr>
      <w:r>
        <w:rPr/>
        <w:t xml:space="preserve">Version mse à jour le: </w:t>
      </w:r>
      <w:r>
        <w:rPr>
          <w:b/>
        </w:rPr>
        <w:t>Mon Aug 31 08:40:43 2015</w:t>
      </w:r>
    </w:p>
    <w:p>
      <w:pPr>
        <w:pStyle w:val="Titre1"/>
        <w:rPr/>
      </w:pPr>
      <w:bookmarkStart w:id="0" w:name="chiffres-cles-de-la-region-alsace-en-2015"/>
      <w:bookmarkEnd w:id="0"/>
      <w:r>
        <w:rPr/>
        <w:t>Chiffres Clés de la région Alsace en 2015</w:t>
      </w:r>
    </w:p>
    <w:p>
      <w:pPr>
        <w:pStyle w:val="Normal"/>
        <w:rPr/>
      </w:pPr>
      <w:r>
        <w:rPr/>
        <w:t>Date de point: 09/08/2015</w:t>
      </w:r>
    </w:p>
    <w:p>
      <w:pPr>
        <w:pStyle w:val="Titre2"/>
        <w:rPr/>
      </w:pPr>
      <w:bookmarkStart w:id="1" w:name="recueil-des-donnees"/>
      <w:bookmarkEnd w:id="1"/>
      <w:r>
        <w:rPr/>
        <w:t>Recueil des données</w:t>
      </w:r>
    </w:p>
    <w:tbl>
      <w:tblPr>
        <w:jc w:val="left"/>
        <w:tblInd w:w="108" w:type="dxa"/>
        <w:tblBorders>
          <w:top w:val="nil"/>
          <w:left w:val="nil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5"/>
        <w:gridCol w:w="5210"/>
      </w:tblGrid>
      <w:tr>
        <w:trPr>
          <w:cantSplit w:val="false"/>
        </w:trPr>
        <w:tc>
          <w:tcPr>
            <w:tcW w:w="4995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Nombre de passages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n</w:t>
            </w:r>
          </w:p>
        </w:tc>
      </w:tr>
      <w:tr>
        <w:trPr>
          <w:cantSplit w:val="false"/>
        </w:trPr>
        <w:tc>
          <w:tcPr>
            <w:tcW w:w="4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Nombre de RPU transmis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305 504</w:t>
            </w:r>
          </w:p>
        </w:tc>
      </w:tr>
      <w:tr>
        <w:trPr>
          <w:cantSplit w:val="false"/>
        </w:trPr>
        <w:tc>
          <w:tcPr>
            <w:tcW w:w="4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Evolution 2014/2015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33.75 %</w:t>
            </w:r>
          </w:p>
        </w:tc>
      </w:tr>
      <w:tr>
        <w:trPr>
          <w:cantSplit w:val="false"/>
        </w:trPr>
        <w:tc>
          <w:tcPr>
            <w:tcW w:w="4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Moyenne quotidienne de passage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1 389</w:t>
            </w:r>
          </w:p>
        </w:tc>
      </w:tr>
      <w:tr>
        <w:trPr>
          <w:cantSplit w:val="false"/>
        </w:trPr>
        <w:tc>
          <w:tcPr>
            <w:tcW w:w="4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Nombre de passages (SAE)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w="4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Exhaustivité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NA%</w:t>
            </w:r>
          </w:p>
        </w:tc>
      </w:tr>
    </w:tbl>
    <w:p>
      <w:pPr>
        <w:pStyle w:val="Titre2"/>
        <w:rPr/>
      </w:pPr>
      <w:bookmarkStart w:id="2" w:name="patients"/>
      <w:bookmarkEnd w:id="2"/>
      <w:r>
        <w:rPr/>
        <w:t>Patients</w:t>
      </w:r>
    </w:p>
    <w:tbl>
      <w:tblPr>
        <w:jc w:val="left"/>
        <w:tblInd w:w="0" w:type="dxa"/>
        <w:tblBorders>
          <w:top w:val="nil"/>
          <w:left w:val="nil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2"/>
        <w:gridCol w:w="5103"/>
      </w:tblGrid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Caractéristiques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sex-ratio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1.09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age moyen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36.7 ans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moins de 1 ans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3.94 %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moins de 15 ans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26.79 %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75 ans et plus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12.65 %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patients hors région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4.35 %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taux de recours régional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15.64 %</w:t>
            </w:r>
          </w:p>
        </w:tc>
      </w:tr>
    </w:tbl>
    <w:p>
      <w:pPr>
        <w:pStyle w:val="Titre2"/>
        <w:rPr/>
      </w:pPr>
      <w:bookmarkStart w:id="3" w:name="arrivees"/>
      <w:bookmarkEnd w:id="3"/>
      <w:r>
        <w:rPr/>
        <w:t>Arrivées</w:t>
      </w:r>
    </w:p>
    <w:tbl>
      <w:tblPr>
        <w:jc w:val="left"/>
        <w:tblInd w:w="0" w:type="dxa"/>
        <w:tblBorders>
          <w:top w:val="nil"/>
          <w:left w:val="nil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2"/>
        <w:gridCol w:w="5103"/>
      </w:tblGrid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Passages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%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la nuit (20h-8h)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27.08 %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en soirée (20h-0H)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16.72 %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en horaire de PDS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44.88%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Modes d'arrivée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%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moyens personnels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71.35%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SMUR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0.98 %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VSAV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9.94 %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Ambulances privées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17.17 %`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Gravité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%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CCMU 1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19.14 %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CCMU 2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66.29 %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CCMU 3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13.01 %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CCMU 4 et 5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1.21 %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CCMU P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0.33 %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CCMU D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0.01 %</w:t>
            </w:r>
          </w:p>
        </w:tc>
      </w:tr>
    </w:tbl>
    <w:p>
      <w:pPr>
        <w:pStyle w:val="Titre2"/>
        <w:rPr/>
      </w:pPr>
      <w:bookmarkStart w:id="4" w:name="diagnostic-principal"/>
      <w:bookmarkEnd w:id="4"/>
      <w:r>
        <w:rPr/>
        <w:t>Diagnostic Principal</w:t>
      </w:r>
    </w:p>
    <w:p>
      <w:pPr>
        <w:pStyle w:val="Titre2"/>
        <w:rPr/>
      </w:pPr>
      <w:bookmarkStart w:id="5" w:name="mode-de-sortie"/>
      <w:bookmarkEnd w:id="5"/>
      <w:r>
        <w:rPr/>
        <w:t>Mode de sortie</w:t>
      </w:r>
    </w:p>
    <w:tbl>
      <w:tblPr>
        <w:jc w:val="left"/>
        <w:tblInd w:w="0" w:type="dxa"/>
        <w:tblBorders>
          <w:top w:val="nil"/>
          <w:left w:val="nil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1"/>
        <w:gridCol w:w="3402"/>
        <w:gridCol w:w="3402"/>
      </w:tblGrid>
      <w:tr>
        <w:trPr>
          <w:cantSplit w:val="false"/>
        </w:trPr>
        <w:tc>
          <w:tcPr>
            <w:tcW w:w="3401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Recours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%</w:t>
            </w:r>
          </w:p>
        </w:tc>
      </w:tr>
      <w:tr>
        <w:trPr>
          <w:cantSplit w:val="false"/>
        </w:trPr>
        <w:tc>
          <w:tcPr>
            <w:tcW w:w="34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Hospitalisation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Mutation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21.8 %</w:t>
            </w:r>
          </w:p>
        </w:tc>
      </w:tr>
      <w:tr>
        <w:trPr>
          <w:cantSplit w:val="false"/>
        </w:trPr>
        <w:tc>
          <w:tcPr>
            <w:tcW w:w="34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Transfert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1.51 %</w:t>
            </w:r>
          </w:p>
        </w:tc>
      </w:tr>
      <w:tr>
        <w:trPr>
          <w:cantSplit w:val="false"/>
        </w:trPr>
        <w:tc>
          <w:tcPr>
            <w:tcW w:w="34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dont UHCD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30.23 %</w:t>
            </w:r>
          </w:p>
        </w:tc>
      </w:tr>
      <w:tr>
        <w:trPr>
          <w:cantSplit w:val="false"/>
        </w:trPr>
        <w:tc>
          <w:tcPr>
            <w:tcW w:w="34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Domicile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76.69 %</w:t>
            </w:r>
          </w:p>
        </w:tc>
      </w:tr>
    </w:tbl>
    <w:p>
      <w:pPr>
        <w:pStyle w:val="Titre2"/>
        <w:rPr/>
      </w:pPr>
      <w:bookmarkStart w:id="6" w:name="duree"/>
      <w:bookmarkEnd w:id="6"/>
      <w:r>
        <w:rPr/>
        <w:t>Durée</w:t>
      </w:r>
    </w:p>
    <w:p>
      <w:pPr>
        <w:pStyle w:val="Titre3"/>
        <w:rPr/>
      </w:pPr>
      <w:bookmarkStart w:id="7" w:name="tous-age"/>
      <w:bookmarkEnd w:id="7"/>
      <w:r>
        <w:rPr/>
        <w:t>Tous âge</w:t>
      </w:r>
    </w:p>
    <w:tbl>
      <w:tblPr>
        <w:jc w:val="left"/>
        <w:tblInd w:w="0" w:type="dxa"/>
        <w:tblBorders>
          <w:top w:val="nil"/>
          <w:left w:val="nil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2"/>
        <w:gridCol w:w="5103"/>
      </w:tblGrid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Durée de passage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heures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moyenne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3h4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médiane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1h58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Passages de moins de 4 heures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%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lors d'une hospitalisation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7.58 %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lors d'un retour à domicile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70.6 %</w:t>
            </w:r>
          </w:p>
        </w:tc>
      </w:tr>
    </w:tbl>
    <w:p>
      <w:pPr>
        <w:pStyle w:val="Titre3"/>
        <w:rPr/>
      </w:pPr>
      <w:bookmarkStart w:id="8" w:name="pour-les-75-ans-ou-plus"/>
      <w:bookmarkEnd w:id="8"/>
      <w:r>
        <w:rPr/>
        <w:t>Pour les 75 ans ou plus</w:t>
      </w:r>
    </w:p>
    <w:tbl>
      <w:tblPr>
        <w:jc w:val="left"/>
        <w:tblInd w:w="0" w:type="dxa"/>
        <w:tblBorders>
          <w:top w:val="nil"/>
          <w:left w:val="nil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2"/>
        <w:gridCol w:w="5103"/>
      </w:tblGrid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Durée de passage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heures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moyenne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4h21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médiane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3h48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Passages de moins de 4 heures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%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lors d'une hospitalisation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17.52 %</w:t>
            </w:r>
          </w:p>
        </w:tc>
      </w:tr>
      <w:tr>
        <w:trPr>
          <w:cantSplit w:val="false"/>
        </w:trPr>
        <w:tc>
          <w:tcPr>
            <w:tcW w:w="5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lors d'un retour à domicile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35.38 %</w:t>
            </w:r>
          </w:p>
        </w:tc>
      </w:tr>
    </w:tbl>
    <w:p>
      <w:pPr>
        <w:pStyle w:val="Titre2"/>
        <w:rPr/>
      </w:pPr>
      <w:bookmarkStart w:id="9" w:name="diagramme-de-completude"/>
      <w:bookmarkEnd w:id="9"/>
      <w:r>
        <w:rPr/>
        <w:t>Diagramme de complétude</w:t>
      </w:r>
    </w:p>
    <w:p>
      <w:pPr>
        <w:pStyle w:val="Normal"/>
        <w:widowControl/>
        <w:bidi w:val="0"/>
        <w:spacing w:before="180" w:after="180"/>
        <w:jc w:val="left"/>
        <w:rPr/>
      </w:pPr>
      <w:r>
        <w:rPr/>
        <w:drawing>
          <wp:inline distT="0" distB="0" distL="114935" distR="114935">
            <wp:extent cx="5440680" cy="407543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07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before="180" w:after="180"/>
      <w:jc w:val="left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Titre1">
    <w:name w:val="Titre 1"/>
    <w:basedOn w:val="Normal"/>
    <w:next w:val="Normal"/>
    <w:pPr>
      <w:keepNext/>
      <w:keepLines/>
      <w:spacing w:before="480" w:after="0"/>
      <w:outlineLvl w:val="0"/>
    </w:pPr>
    <w:rPr>
      <w:rFonts w:ascii="Calibri" w:hAnsi="Calibri" w:cs="Cambria"/>
      <w:b/>
      <w:bCs/>
      <w:color w:val="345A8A"/>
      <w:sz w:val="32"/>
      <w:szCs w:val="32"/>
    </w:rPr>
  </w:style>
  <w:style w:type="paragraph" w:styleId="Titre2">
    <w:name w:val="Titre 2"/>
    <w:basedOn w:val="Normal"/>
    <w:next w:val="Normal"/>
    <w:pPr>
      <w:keepNext/>
      <w:keepLines/>
      <w:spacing w:before="200" w:after="0"/>
      <w:outlineLvl w:val="1"/>
    </w:pPr>
    <w:rPr>
      <w:rFonts w:ascii="Calibri" w:hAnsi="Calibri" w:cs="Cambria"/>
      <w:b/>
      <w:bCs/>
      <w:color w:val="4F81BD"/>
      <w:sz w:val="32"/>
      <w:szCs w:val="32"/>
    </w:rPr>
  </w:style>
  <w:style w:type="paragraph" w:styleId="Titre3">
    <w:name w:val="Titre 3"/>
    <w:basedOn w:val="Normal"/>
    <w:next w:val="Normal"/>
    <w:pPr>
      <w:keepNext/>
      <w:keepLines/>
      <w:spacing w:before="200" w:after="0"/>
      <w:outlineLvl w:val="1"/>
    </w:pPr>
    <w:rPr>
      <w:rFonts w:ascii="Calibri" w:hAnsi="Calibri" w:cs="Cambria"/>
      <w:b/>
      <w:bCs/>
      <w:color w:val="4F81BD"/>
      <w:sz w:val="28"/>
      <w:szCs w:val="28"/>
    </w:rPr>
  </w:style>
  <w:style w:type="paragraph" w:styleId="Titre4">
    <w:name w:val="Titre 4"/>
    <w:basedOn w:val="Normal"/>
    <w:next w:val="Normal"/>
    <w:pPr>
      <w:keepNext/>
      <w:keepLines/>
      <w:spacing w:before="200" w:after="0"/>
      <w:outlineLvl w:val="1"/>
    </w:pPr>
    <w:rPr>
      <w:rFonts w:ascii="Calibri" w:hAnsi="Calibri" w:cs="Cambria"/>
      <w:b/>
      <w:bCs/>
      <w:color w:val="4F81BD"/>
      <w:sz w:val="24"/>
      <w:szCs w:val="24"/>
    </w:rPr>
  </w:style>
  <w:style w:type="paragraph" w:styleId="Titre5">
    <w:name w:val="Titre 5"/>
    <w:basedOn w:val="Normal"/>
    <w:next w:val="Normal"/>
    <w:pPr>
      <w:keepNext/>
      <w:keepLines/>
      <w:spacing w:before="200" w:after="0"/>
      <w:outlineLvl w:val="1"/>
    </w:pPr>
    <w:rPr>
      <w:rFonts w:ascii="Calibri" w:hAnsi="Calibri" w:cs="Cambria"/>
      <w:i/>
      <w:iCs/>
      <w:color w:val="4F81BD"/>
      <w:sz w:val="24"/>
      <w:szCs w:val="24"/>
    </w:rPr>
  </w:style>
  <w:style w:type="character" w:styleId="DefaultParagraphFont">
    <w:name w:val="Default Paragraph Font"/>
    <w:rPr/>
  </w:style>
  <w:style w:type="character" w:styleId="BodyTextChar">
    <w:name w:val="Body Text Char"/>
    <w:basedOn w:val="DefaultParagraphFont"/>
    <w:rPr/>
  </w:style>
  <w:style w:type="character" w:styleId="VerbatimChar">
    <w:name w:val="Verbatim Char"/>
    <w:basedOn w:val="BodyTextChar"/>
    <w:rPr>
      <w:rFonts w:ascii="Consolas" w:hAnsi="Consolas"/>
      <w:sz w:val="22"/>
    </w:rPr>
  </w:style>
  <w:style w:type="character" w:styleId="FootnoteRef">
    <w:name w:val="Footnote Ref"/>
    <w:basedOn w:val="BodyTextChar"/>
    <w:rPr>
      <w:vertAlign w:val="superscript"/>
    </w:rPr>
  </w:style>
  <w:style w:type="character" w:styleId="Link">
    <w:name w:val="Link"/>
    <w:basedOn w:val="BodyTextChar"/>
    <w:rPr>
      <w:color w:val="4F81BD"/>
    </w:rPr>
  </w:style>
  <w:style w:type="character" w:styleId="KeywordTok">
    <w:name w:val="KeywordTok"/>
    <w:basedOn w:val="VerbatimChar"/>
    <w:rPr>
      <w:b/>
      <w:color w:val="007020"/>
    </w:rPr>
  </w:style>
  <w:style w:type="character" w:styleId="DataTypeTok">
    <w:name w:val="DataTypeTok"/>
    <w:basedOn w:val="VerbatimChar"/>
    <w:rPr>
      <w:color w:val="902000"/>
    </w:rPr>
  </w:style>
  <w:style w:type="character" w:styleId="DecValTok">
    <w:name w:val="DecValTok"/>
    <w:basedOn w:val="VerbatimChar"/>
    <w:rPr>
      <w:color w:val="40A070"/>
    </w:rPr>
  </w:style>
  <w:style w:type="character" w:styleId="BaseNTok">
    <w:name w:val="BaseNTok"/>
    <w:basedOn w:val="VerbatimChar"/>
    <w:rPr>
      <w:color w:val="40A070"/>
    </w:rPr>
  </w:style>
  <w:style w:type="character" w:styleId="FloatTok">
    <w:name w:val="FloatTok"/>
    <w:basedOn w:val="VerbatimChar"/>
    <w:rPr>
      <w:color w:val="40A070"/>
    </w:rPr>
  </w:style>
  <w:style w:type="character" w:styleId="CharTok">
    <w:name w:val="CharTok"/>
    <w:basedOn w:val="VerbatimChar"/>
    <w:rPr>
      <w:color w:val="4070A0"/>
    </w:rPr>
  </w:style>
  <w:style w:type="character" w:styleId="StringTok">
    <w:name w:val="StringTok"/>
    <w:basedOn w:val="VerbatimChar"/>
    <w:rPr>
      <w:color w:val="4070A0"/>
    </w:rPr>
  </w:style>
  <w:style w:type="character" w:styleId="CommentTok">
    <w:name w:val="CommentTok"/>
    <w:basedOn w:val="VerbatimChar"/>
    <w:rPr>
      <w:i/>
      <w:color w:val="60A0B0"/>
    </w:rPr>
  </w:style>
  <w:style w:type="character" w:styleId="OtherTok">
    <w:name w:val="OtherTok"/>
    <w:basedOn w:val="VerbatimChar"/>
    <w:rPr>
      <w:color w:val="007020"/>
    </w:rPr>
  </w:style>
  <w:style w:type="character" w:styleId="AlertTok">
    <w:name w:val="AlertTok"/>
    <w:basedOn w:val="VerbatimChar"/>
    <w:rPr>
      <w:b/>
      <w:color w:val="FF0000"/>
    </w:rPr>
  </w:style>
  <w:style w:type="character" w:styleId="FunctionTok">
    <w:name w:val="FunctionTok"/>
    <w:basedOn w:val="VerbatimChar"/>
    <w:rPr>
      <w:color w:val="06287E"/>
    </w:rPr>
  </w:style>
  <w:style w:type="character" w:styleId="RegionMarkerTok">
    <w:name w:val="RegionMarkerTok"/>
    <w:basedOn w:val="VerbatimChar"/>
    <w:rPr/>
  </w:style>
  <w:style w:type="character" w:styleId="ErrorTok">
    <w:name w:val="ErrorTok"/>
    <w:basedOn w:val="VerbatimChar"/>
    <w:rPr>
      <w:b/>
      <w:color w:val="FF0000"/>
    </w:rPr>
  </w:style>
  <w:style w:type="character" w:styleId="NormalTok">
    <w:name w:val="NormalTok"/>
    <w:basedOn w:val="VerbatimChar"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180" w:after="12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pact">
    <w:name w:val="Compact"/>
    <w:basedOn w:val="Normal"/>
    <w:pPr>
      <w:spacing w:before="36" w:after="36"/>
    </w:pPr>
    <w:rPr/>
  </w:style>
  <w:style w:type="paragraph" w:styleId="Titreprincipal">
    <w:name w:val="Titre principal"/>
    <w:basedOn w:val="Normal"/>
    <w:next w:val="Normal"/>
    <w:pPr>
      <w:keepNext/>
      <w:keepLines/>
      <w:spacing w:before="480" w:after="240"/>
      <w:jc w:val="center"/>
    </w:pPr>
    <w:rPr>
      <w:rFonts w:ascii="Calibri" w:hAnsi="Calibri" w:cs="Cambria"/>
      <w:b/>
      <w:bCs/>
      <w:color w:val="345A8A"/>
      <w:sz w:val="36"/>
      <w:szCs w:val="36"/>
    </w:rPr>
  </w:style>
  <w:style w:type="paragraph" w:styleId="Soustitre">
    <w:name w:val="Sous-titre"/>
    <w:basedOn w:val="Titreprincipal"/>
    <w:next w:val="Normal"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pPr>
      <w:keepNext/>
      <w:keepLines/>
      <w:widowControl/>
      <w:suppressAutoHyphens w:val="true"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Date">
    <w:name w:val="Date"/>
    <w:next w:val="Normal"/>
    <w:pPr>
      <w:keepNext/>
      <w:keepLines/>
      <w:widowControl/>
      <w:suppressAutoHyphens w:val="true"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pPr/>
    <w:rPr/>
  </w:style>
  <w:style w:type="paragraph" w:styleId="BlockQuote">
    <w:name w:val="Block Quote"/>
    <w:basedOn w:val="Normal"/>
    <w:next w:val="Normal"/>
    <w:pPr>
      <w:spacing w:before="100" w:after="100"/>
    </w:pPr>
    <w:rPr>
      <w:rFonts w:ascii="Calibri" w:hAnsi="Calibri" w:cs="Cambria"/>
      <w:bCs/>
      <w:sz w:val="20"/>
      <w:szCs w:val="20"/>
    </w:rPr>
  </w:style>
  <w:style w:type="paragraph" w:styleId="Notedebasdepage">
    <w:name w:val="Note de bas de page"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basedOn w:val="Normal"/>
    <w:pPr>
      <w:spacing w:before="0" w:after="120"/>
    </w:pPr>
    <w:rPr>
      <w:i/>
    </w:rPr>
  </w:style>
  <w:style w:type="paragraph" w:styleId="ImageCaption">
    <w:name w:val="Image Caption"/>
    <w:basedOn w:val="Normal"/>
    <w:pPr>
      <w:spacing w:before="0" w:after="120"/>
    </w:pPr>
    <w:rPr>
      <w:i/>
    </w:rPr>
  </w:style>
  <w:style w:type="paragraph" w:styleId="SourceCode">
    <w:name w:val="Source Code"/>
    <w:basedOn w:val="Normal"/>
    <w:pPr>
      <w:shd w:fill="F8F8F8" w:val="clear"/>
    </w:pPr>
    <w:rPr/>
  </w:style>
  <w:style w:type="paragraph" w:styleId="Contenudetableau">
    <w:name w:val="Contenu de tableau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jcb</dc:creator>
  <dc:language>fr-FR</dc:language>
  <dcterms:modified xsi:type="dcterms:W3CDTF">2015-08-31T08:47:54Z</dcterms:modified>
  <cp:revision>0</cp:revision>
  <dc:title>Chiffres Clés</dc:title>
</cp:coreProperties>
</file>