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III: The Breaking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Noise without signal.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360" w:after="360"/>
        <w:ind w:firstLine="0"/>
        <w:jc w:val="center"/>
      </w:pPr>
      <w:r>
        <w:rPr>
          <w:rFonts w:ascii="Georgia" w:hAnsi="Georgia"/>
          <w:sz w:val="24"/>
        </w:rPr>
        <w:t>*  *  *</w:t>
      </w:r>
    </w:p>
    <w:p>
      <w:pPr>
        <w:ind w:firstLine="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constant and patient. He would go there. He knew this.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 xml:space="preserve">The eldest was a woman. Her age was impossible — not difficult to estimate, </w:t>
      </w:r>
      <w:r>
        <w:rPr>
          <w:rFonts w:ascii="Georgia" w:hAnsi="Georgia"/>
          <w:i/>
          <w:sz w:val="24"/>
        </w:rPr>
        <w:t>impossible</w:t>
      </w:r>
      <w:r>
        <w:rPr>
          <w:rFonts w:ascii="Georgia" w:hAnsi="Georgia"/>
          <w:sz w:val="24"/>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 the way Maera had used her memories, as fuel for the telling.</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720"/>
      </w:pPr>
      <w:r>
        <w:rPr>
          <w:rFonts w:ascii="Georgia" w:hAnsi="Georgia"/>
          <w:sz w:val="24"/>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720"/>
      </w:pPr>
      <w:r>
        <w:rPr>
          <w:rFonts w:ascii="Georgia" w:hAnsi="Georgia"/>
          <w:sz w:val="24"/>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720"/>
      </w:pPr>
      <w:r>
        <w:rPr>
          <w:rFonts w:ascii="Georgia" w:hAnsi="Georgia"/>
          <w:sz w:val="24"/>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 The histories would remember these details. The details were not the point.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4"/>
        </w:rPr>
        <w:t>finally</w:t>
      </w:r>
      <w:r>
        <w:rPr>
          <w:rFonts w:ascii="Georgia" w:hAnsi="Georgia"/>
          <w:sz w:val="24"/>
        </w:rPr>
        <w:t>, fill the silence that had been Varas's only companion since the day he was born.</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The fight was not an action set piece. It was not the choreographed, dramatic, aesthetically satisfying exchange that the ballads would have required. 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