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III: The Breaking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 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72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The eldest was a woman. Her age was impossible.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720"/>
      </w:pPr>
      <w:r>
        <w:rPr>
          <w:rFonts w:ascii="Georgia" w:hAnsi="Georgia"/>
          <w:sz w:val="24"/>
        </w:rPr>
        <w:t>The dog died. The assassin did not — not immediately. Not for a long time.</w:t>
      </w:r>
    </w:p>
    <w:p>
      <w:pPr>
        <w:ind w:firstLine="720"/>
      </w:pPr>
      <w:r>
        <w:rPr>
          <w:rFonts w:ascii="Georgia" w:hAnsi="Georgia"/>
          <w:sz w:val="24"/>
        </w:rPr>
        <w:t>Varas felt the room's sound. He felt it the way you feel the vibration of thunder through glass: muted, distorted, recognizable but diminished. A ghost. The fossil of an emotion, compressed by the geological pressure of his condition into something that was shaped like the thing and occupied the space where the thing should have been.</w:t>
      </w:r>
    </w:p>
    <w:p>
      <w:pPr>
        <w:ind w:firstLine="720"/>
      </w:pPr>
      <w:r>
        <w:rPr>
          <w:rFonts w:ascii="Georgia" w:hAnsi="Georgia"/>
          <w:sz w:val="24"/>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carried the baby through fire. The hand was shaking. The fingers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every surface.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