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JOSH STOKESBERRY</w:t>
      </w:r>
    </w:p>
    <w:p>
      <w:pPr>
        <w:spacing w:after="14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Oklahoma City, OK · stokesberryjosh@gmail.com · [phone] · [LinkedIn URL]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Financial operations analyst with 6+ years in institutional post-trade operations at S&amp;P Global — reconciliation, exception management, controls, and multi-party settlement coordination at $10B+ scale — plus published S&amp;P Global crypto research and years of hands-on DeFi use. Seeking to keep high-volume crypto billing operations boring, reliable, and continuously improving.</w:t>
      </w:r>
    </w:p>
    <w:p>
      <w:pPr>
        <w:pBdr>
          <w:bottom w:val="single" w:color="444444" w:sz="4" w:space="2"/>
        </w:pBdr>
        <w:spacing w:after="9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1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S&amp;P Global — Financial Operations Analyst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	Oct 2019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Facilitated $10B+ in primary and secondary syndicated loan trades; monitored settlement status, documentation, funding requirements, and exceptions across clients, counterparties, custodians, agent banks, and legal stakeholders.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Led analyst coverage for multiple bank and fund-management client portfolios, balancing daily execution, escalation, prioritization, and risk controls.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Converted status signals, documentation gaps, and settlement blockers into clear operational priorities; reduced recurring blockers by streamlining reconciliation and follow-up routines (ClearPar, WSO, Excel).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Communicated trade status, blockers, and operational priorities to clients, counterparties, and internal stakeholders — translation work between technical workflows and institutional audiences.</w:t>
      </w:r>
    </w:p>
    <w:p>
      <w:pPr>
        <w:tabs>
          <w:tab w:val="right" w:pos="9026"/>
        </w:tabs>
        <w:spacing w:after="40" w:before="1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S&amp;P Global — Crypto/Blockchain Research Contributor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Contributed to published S&amp;P Global research on blockchain oracle risk, crypto/AI convergence, and secure blockchain interoperability supporting tokenization in financial markets.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Applied an institutional risk lens to onchain infrastructure: data quality, concentration risk, cross-chain communication, and workflow integrity.</w:t>
      </w:r>
    </w:p>
    <w:p>
      <w:pPr>
        <w:tabs>
          <w:tab w:val="right" w:pos="9026"/>
        </w:tabs>
        <w:spacing w:after="40" w:before="1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Ames Energy Partners — Data Analyst &amp; Mineral Rights Buyer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	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Aggregated and analyzed land and mineral-rights data to support acquisition targeting; contacted and negotiated directly with landowners; maintained deal and research records.</w:t>
      </w:r>
    </w:p>
    <w:p>
      <w:pPr>
        <w:tabs>
          <w:tab w:val="right" w:pos="9026"/>
        </w:tabs>
        <w:spacing w:after="40" w:before="1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Independent — DeFi / Market-Infrastructure Researcher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Hands-on user of major DeFi protocols (Aave, Curve, Convex, Pendle, Aerodrome) with a risk-first lens on liquidity, collateral mechanics, governance, and operational controls; built an AI-assisted operations system on Git-based workflows with working Python/Pandas and SQL foundations.</w:t>
      </w:r>
    </w:p>
    <w:p>
      <w:pPr>
        <w:pBdr>
          <w:bottom w:val="single" w:color="444444" w:sz="4" w:space="2"/>
        </w:pBdr>
        <w:spacing w:after="9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PUBLICATIONS (S&amp;P GLOBAL — CONTRIBUTOR)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Utility at a Cost: Assessing the Risks of Blockchain Oracles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Crypto and AI: Shaping the Future of the Internet (S&amp;P Look Forward Council Award)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Secure Blockchain Interoperability Supports Growth of Tokenization in Financial Markets</w:t>
      </w:r>
    </w:p>
    <w:p>
      <w:pPr>
        <w:pBdr>
          <w:bottom w:val="single" w:color="444444" w:sz="4" w:space="2"/>
        </w:pBdr>
        <w:spacing w:after="9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SKILLS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Reconciliation &amp; exception management · escalation &amp; stakeholder coordination · operational controls · ClearPar · WSO · Excel (advanced) · Python/Pandas and SQL (working foundations) · JSON/REST APIs · DeFi protocols &amp; wallet operations</w:t>
      </w:r>
    </w:p>
    <w:p>
      <w:pPr>
        <w:pBdr>
          <w:bottom w:val="single" w:color="444444" w:sz="4" w:space="2"/>
        </w:pBdr>
        <w:spacing w:after="9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EDUCATION</w:t>
      </w:r>
    </w:p>
    <w:p>
      <w:r>
        <w:rPr>
          <w:rFonts w:ascii="Arial" w:cs="Arial" w:eastAsia="Arial" w:hAnsi="Arial"/>
          <w:sz w:val="21"/>
          <w:szCs w:val="21"/>
        </w:rPr>
        <w:t xml:space="preserve">[Josh: degree, school, year — fill before submitting]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2026-07-05T18:42:27.101Z</dcterms:created>
  <dcterms:modified xsi:type="dcterms:W3CDTF">2026-07-05T18:42:27.107Z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