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E903E1" w14:textId="77777777" w:rsidR="00EF4029" w:rsidRDefault="00EF4029">
      <w:pPr>
        <w:pStyle w:val="Ttulo1"/>
        <w:rPr>
          <w:rFonts w:ascii="Calibri" w:eastAsia="Times New Roman" w:hAnsi="Calibri" w:cs="Calibri"/>
        </w:rPr>
      </w:pPr>
      <w:r>
        <w:rPr>
          <w:rFonts w:ascii="Calibri" w:eastAsia="Times New Roman" w:hAnsi="Calibri" w:cs="Calibri"/>
        </w:rPr>
        <w:t>Vivienda en España: cómo bajar el dolor</w:t>
      </w:r>
    </w:p>
    <w:p w14:paraId="51469B77" w14:textId="77777777" w:rsidR="00EF4029" w:rsidRDefault="00EF4029">
      <w:pPr>
        <w:pStyle w:val="entradilla"/>
        <w:spacing w:before="0" w:beforeAutospacing="0"/>
        <w:rPr>
          <w:rFonts w:cs="Calibri"/>
        </w:rPr>
      </w:pPr>
      <w:r>
        <w:rPr>
          <w:rFonts w:cs="Calibri"/>
        </w:rPr>
        <w:t>Lo que dicen los datos cuando se miran enteros, y siete ideas que se pueden defender sin pertenecer a ningún bando</w:t>
      </w:r>
    </w:p>
    <w:p w14:paraId="1CC6FE12" w14:textId="77777777" w:rsidR="00EF4029" w:rsidRDefault="00EF4029">
      <w:pPr>
        <w:pStyle w:val="pie"/>
        <w:spacing w:before="0" w:beforeAutospacing="0" w:after="120" w:afterAutospacing="0"/>
        <w:rPr>
          <w:rFonts w:ascii="Calibri" w:hAnsi="Calibri" w:cs="Calibri"/>
        </w:rPr>
      </w:pPr>
      <w:r>
        <w:rPr>
          <w:rFonts w:ascii="Calibri" w:hAnsi="Calibri" w:cs="Calibri"/>
        </w:rPr>
        <w:t>Juan Carlos Siria · Proyecto SOIH · Borrador de 12 de octubre de 2026</w:t>
      </w:r>
    </w:p>
    <w:p w14:paraId="190DCA37" w14:textId="77777777" w:rsidR="00EF4029" w:rsidRDefault="00EF4029">
      <w:pPr>
        <w:shd w:val="clear" w:color="auto" w:fill="EAF2F8"/>
        <w:divId w:val="943923943"/>
        <w:rPr>
          <w:rFonts w:ascii="Calibri" w:eastAsia="Times New Roman" w:hAnsi="Calibri" w:cs="Calibri"/>
          <w:color w:val="1F2933"/>
          <w:sz w:val="21"/>
          <w:szCs w:val="21"/>
        </w:rPr>
      </w:pPr>
      <w:r>
        <w:rPr>
          <w:rFonts w:ascii="Calibri" w:eastAsia="Times New Roman" w:hAnsi="Calibri" w:cs="Calibri"/>
          <w:b/>
          <w:bCs/>
          <w:color w:val="1F2933"/>
          <w:sz w:val="21"/>
          <w:szCs w:val="21"/>
        </w:rPr>
        <w:t>Resumen.</w:t>
      </w:r>
      <w:r>
        <w:rPr>
          <w:rFonts w:ascii="Calibri" w:eastAsia="Times New Roman" w:hAnsi="Calibri" w:cs="Calibri"/>
          <w:color w:val="1F2933"/>
          <w:sz w:val="21"/>
          <w:szCs w:val="21"/>
        </w:rPr>
        <w:t xml:space="preserve"> El debate sobre la vivienda enfrenta a quien dice que falta construir, a quien dice que todo es especulación y a quien culpa al turismo o a la inmigración. Este trabajo reúne 266 cifras, cada una con su fuente, y varias decenas de estudios en un mapa de causas y efectos, y pregunta qué medidas reducen el daño a las personas, no cuáles benefician a quien ofrece vivienda. Tres resultados. Primero, el daño ha cambiado de sitio: quien ya tiene contrato de alquiler está mejor que en 2015, y quien quiere entrar </w:t>
      </w:r>
      <w:r>
        <w:rPr>
          <w:rFonts w:ascii="Calibri" w:eastAsia="Times New Roman" w:hAnsi="Calibri" w:cs="Calibri"/>
          <w:color w:val="1F2933"/>
          <w:sz w:val="21"/>
          <w:szCs w:val="21"/>
        </w:rPr>
        <w:t>está mucho peor. Segundo, la medida con mejor respaldo es restringir el uso turístico de la vivienda, y la peor, liberalizarlo. Tercero, ninguna receta pura gana: ni solo regular ni solo dejar hacer. Lo que mejor resulta es una mezcla, y la única pieza que aparece siempre es limitar el uso turístico.</w:t>
      </w:r>
    </w:p>
    <w:p w14:paraId="41135302" w14:textId="77777777" w:rsidR="00EF4029" w:rsidRDefault="00EF4029">
      <w:pPr>
        <w:pStyle w:val="Ttulo2"/>
        <w:rPr>
          <w:rFonts w:ascii="Calibri" w:eastAsia="Times New Roman" w:hAnsi="Calibri" w:cs="Calibri"/>
        </w:rPr>
      </w:pPr>
      <w:r>
        <w:rPr>
          <w:rFonts w:ascii="Calibri" w:eastAsia="Times New Roman" w:hAnsi="Calibri" w:cs="Calibri"/>
        </w:rPr>
        <w:t>1. La pregunta</w:t>
      </w:r>
    </w:p>
    <w:p w14:paraId="1D6441F4" w14:textId="77777777" w:rsidR="00EF4029" w:rsidRDefault="00EF4029">
      <w:pPr>
        <w:pStyle w:val="NormalWeb"/>
        <w:rPr>
          <w:rFonts w:ascii="Calibri" w:hAnsi="Calibri" w:cs="Calibri"/>
          <w:color w:val="1F2933"/>
          <w:sz w:val="21"/>
          <w:szCs w:val="21"/>
        </w:rPr>
      </w:pPr>
      <w:r>
        <w:rPr>
          <w:rFonts w:ascii="Calibri" w:hAnsi="Calibri" w:cs="Calibri"/>
          <w:color w:val="1F2933"/>
          <w:sz w:val="21"/>
          <w:szCs w:val="21"/>
        </w:rPr>
        <w:t xml:space="preserve">No se pregunta aquí cómo hacer que el mercado de la vivienda funcione mejor, sino otra cosa: </w:t>
      </w:r>
      <w:r>
        <w:rPr>
          <w:rFonts w:ascii="Calibri" w:hAnsi="Calibri" w:cs="Calibri"/>
          <w:b/>
          <w:bCs/>
          <w:color w:val="1F2933"/>
          <w:sz w:val="21"/>
          <w:szCs w:val="21"/>
        </w:rPr>
        <w:t>qué hace que más personas vivan con dignidad y con tranquilidad</w:t>
      </w:r>
      <w:r>
        <w:rPr>
          <w:rFonts w:ascii="Calibri" w:hAnsi="Calibri" w:cs="Calibri"/>
          <w:color w:val="1F2933"/>
          <w:sz w:val="21"/>
          <w:szCs w:val="21"/>
        </w:rPr>
        <w:t>. La diferencia importa. Con la primera pregunta, que los alquileres suban es una señal para construir. Con la segunda, es un hogar que no llega a fin de mes, un joven que no se va de casa o una familia que comparte piso con otra.</w:t>
      </w:r>
    </w:p>
    <w:p w14:paraId="2A42F965" w14:textId="77777777" w:rsidR="00EF4029" w:rsidRDefault="00EF4029">
      <w:pPr>
        <w:pStyle w:val="NormalWeb"/>
        <w:rPr>
          <w:rFonts w:ascii="Calibri" w:hAnsi="Calibri" w:cs="Calibri"/>
          <w:color w:val="1F2933"/>
          <w:sz w:val="21"/>
          <w:szCs w:val="21"/>
        </w:rPr>
      </w:pPr>
      <w:r>
        <w:rPr>
          <w:rFonts w:ascii="Calibri" w:hAnsi="Calibri" w:cs="Calibri"/>
          <w:color w:val="1F2933"/>
          <w:sz w:val="21"/>
          <w:szCs w:val="21"/>
        </w:rPr>
        <w:t>El punto de partida era una sospecha: que para lograrlo hay que intervenir el mercado y no dejarlo solo. Una sospecha no es un resultado, así que se ha puesto a prueba. En parte se confirma y en parte no.</w:t>
      </w:r>
    </w:p>
    <w:p w14:paraId="666663AB" w14:textId="77777777" w:rsidR="00EF4029" w:rsidRDefault="00EF4029">
      <w:pPr>
        <w:pStyle w:val="Ttulo2"/>
        <w:rPr>
          <w:rFonts w:ascii="Calibri" w:eastAsia="Times New Roman" w:hAnsi="Calibri" w:cs="Calibri"/>
        </w:rPr>
      </w:pPr>
      <w:r>
        <w:rPr>
          <w:rFonts w:ascii="Calibri" w:eastAsia="Times New Roman" w:hAnsi="Calibri" w:cs="Calibri"/>
        </w:rPr>
        <w:t>2. Cómo se ha hecho, en pocas palabras</w:t>
      </w:r>
    </w:p>
    <w:p w14:paraId="010A7802" w14:textId="77777777" w:rsidR="00EF4029" w:rsidRDefault="00EF4029">
      <w:pPr>
        <w:numPr>
          <w:ilvl w:val="0"/>
          <w:numId w:val="1"/>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Un mapa de causas y efectos.</w:t>
      </w:r>
      <w:r>
        <w:rPr>
          <w:rFonts w:ascii="Calibri" w:eastAsia="Times New Roman" w:hAnsi="Calibri" w:cs="Calibri"/>
          <w:color w:val="1F2933"/>
          <w:sz w:val="21"/>
          <w:szCs w:val="21"/>
        </w:rPr>
        <w:t xml:space="preserve"> 97 factores (precios, oferta, salarios, turismo, inmigración, leyes) unidos por flechas del tipo «si esto sube, aquello baja».</w:t>
      </w:r>
    </w:p>
    <w:p w14:paraId="09AA92E3" w14:textId="77777777" w:rsidR="00EF4029" w:rsidRDefault="00EF4029">
      <w:pPr>
        <w:numPr>
          <w:ilvl w:val="0"/>
          <w:numId w:val="1"/>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Solo cuenta lo que tiene fuente.</w:t>
      </w:r>
      <w:r>
        <w:rPr>
          <w:rFonts w:ascii="Calibri" w:eastAsia="Times New Roman" w:hAnsi="Calibri" w:cs="Calibri"/>
          <w:color w:val="1F2933"/>
          <w:sz w:val="21"/>
          <w:szCs w:val="21"/>
        </w:rPr>
        <w:t xml:space="preserve"> Cada flecha necesita un dato oficial, un estudio o que la afirmen actores de bandos distintos. Lo que solo es plausible se aparta y no se usa. Hoy hay 117 flechas con respaldo y 37 apartadas.</w:t>
      </w:r>
    </w:p>
    <w:p w14:paraId="6FD1BDBE" w14:textId="77777777" w:rsidR="00EF4029" w:rsidRDefault="00EF4029">
      <w:pPr>
        <w:numPr>
          <w:ilvl w:val="0"/>
          <w:numId w:val="1"/>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Se prueban todas las combinaciones.</w:t>
      </w:r>
      <w:r>
        <w:rPr>
          <w:rFonts w:ascii="Calibri" w:eastAsia="Times New Roman" w:hAnsi="Calibri" w:cs="Calibri"/>
          <w:color w:val="1F2933"/>
          <w:sz w:val="21"/>
          <w:szCs w:val="21"/>
        </w:rPr>
        <w:t xml:space="preserve"> Un programa calcula qué ocurre con cada una de las 61466 combinaciones posibles de hasta cinco medidas, y cuenta cuántos de quince resultados que importan a las personas mejoran y cuántos empeoran.</w:t>
      </w:r>
    </w:p>
    <w:p w14:paraId="5C691EF7" w14:textId="77777777" w:rsidR="00EF4029" w:rsidRDefault="00EF4029">
      <w:pPr>
        <w:numPr>
          <w:ilvl w:val="0"/>
          <w:numId w:val="1"/>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Dice hacia dónde, no cuánto.</w:t>
      </w:r>
      <w:r>
        <w:rPr>
          <w:rFonts w:ascii="Calibri" w:eastAsia="Times New Roman" w:hAnsi="Calibri" w:cs="Calibri"/>
          <w:color w:val="1F2933"/>
          <w:sz w:val="21"/>
          <w:szCs w:val="21"/>
        </w:rPr>
        <w:t xml:space="preserve"> El mapa indica si una medida empuja un resultado a mejor o a peor, y en qué plazo. No dice si mucho o poco. Es su límite principal y conviene tenerlo presente en todo lo que sigue.</w:t>
      </w:r>
    </w:p>
    <w:p w14:paraId="47D5D268" w14:textId="77777777" w:rsidR="00EF4029" w:rsidRDefault="00EF4029">
      <w:pPr>
        <w:pStyle w:val="Ttulo2"/>
        <w:rPr>
          <w:rFonts w:ascii="Calibri" w:eastAsia="Times New Roman" w:hAnsi="Calibri" w:cs="Calibri"/>
        </w:rPr>
      </w:pPr>
      <w:r>
        <w:rPr>
          <w:rFonts w:ascii="Calibri" w:eastAsia="Times New Roman" w:hAnsi="Calibri" w:cs="Calibri"/>
        </w:rPr>
        <w:t>3. Lo que muestran los datos</w:t>
      </w:r>
    </w:p>
    <w:p w14:paraId="70F5B01A" w14:textId="77777777" w:rsidR="00EF4029" w:rsidRDefault="00EF4029">
      <w:pPr>
        <w:pStyle w:val="Ttulo3"/>
        <w:rPr>
          <w:rFonts w:ascii="Calibri" w:eastAsia="Times New Roman" w:hAnsi="Calibri" w:cs="Calibri"/>
        </w:rPr>
      </w:pPr>
      <w:r>
        <w:rPr>
          <w:rFonts w:ascii="Calibri" w:eastAsia="Times New Roman" w:hAnsi="Calibri" w:cs="Calibri"/>
        </w:rPr>
        <w:t>Hay dos mercados de alquiler, no uno</w:t>
      </w:r>
    </w:p>
    <w:p w14:paraId="1C71CADC" w14:textId="77777777" w:rsidR="00EF4029" w:rsidRDefault="00EF4029">
      <w:pPr>
        <w:pStyle w:val="NormalWeb"/>
        <w:rPr>
          <w:rFonts w:ascii="Calibri" w:hAnsi="Calibri" w:cs="Calibri"/>
          <w:color w:val="1F2933"/>
          <w:sz w:val="21"/>
          <w:szCs w:val="21"/>
        </w:rPr>
      </w:pPr>
      <w:r>
        <w:rPr>
          <w:rFonts w:ascii="Calibri" w:hAnsi="Calibri" w:cs="Calibri"/>
          <w:color w:val="1F2933"/>
          <w:sz w:val="21"/>
          <w:szCs w:val="21"/>
        </w:rPr>
        <w:t>Quien ya tiene contrato ha mejorado. En 2021 el alquiler se llevaba el 33,1 % de la renta de los inquilinos; en 2025, el 26,7 %. Los contratos vivos han subido más o menos como los precios, y los salarios más bajos han subido bastante más: un 48 % entre 2018 y 2024 para la décima parte que menos gana.</w:t>
      </w:r>
    </w:p>
    <w:p w14:paraId="548025AC" w14:textId="77777777" w:rsidR="00EF4029" w:rsidRDefault="00EF4029">
      <w:pPr>
        <w:pStyle w:val="NormalWeb"/>
        <w:rPr>
          <w:rFonts w:ascii="Calibri" w:hAnsi="Calibri" w:cs="Calibri"/>
          <w:color w:val="1F2933"/>
          <w:sz w:val="21"/>
          <w:szCs w:val="21"/>
        </w:rPr>
      </w:pPr>
      <w:r>
        <w:rPr>
          <w:rFonts w:ascii="Calibri" w:hAnsi="Calibri" w:cs="Calibri"/>
          <w:color w:val="1F2933"/>
          <w:sz w:val="21"/>
          <w:szCs w:val="21"/>
        </w:rPr>
        <w:t xml:space="preserve">Quien busca piso se encuentra otra cosa. Las viviendas que salen al mercado cuestan un 16,5 % más que las ya alquiladas; en 2020 la diferencia era del 6,2 %. La salida ha sido compartir o no irse: </w:t>
      </w:r>
      <w:r>
        <w:rPr>
          <w:rFonts w:ascii="Calibri" w:hAnsi="Calibri" w:cs="Calibri"/>
          <w:color w:val="1F2933"/>
          <w:sz w:val="21"/>
          <w:szCs w:val="21"/>
        </w:rPr>
        <w:lastRenderedPageBreak/>
        <w:t>los inquilinos que viven en pisos con más gente de la que cabe pasan del 15,4 % al 20,5 % en cuatro años, y los jóvenes de 18 a 34 años que viven con sus padres, del 58,0 % en 2015 al 68,7 %.</w:t>
      </w:r>
    </w:p>
    <w:p w14:paraId="533229D3" w14:textId="77777777" w:rsidR="00EF4029" w:rsidRDefault="00EF4029">
      <w:pPr>
        <w:pStyle w:val="NormalWeb"/>
        <w:rPr>
          <w:rFonts w:ascii="Calibri" w:hAnsi="Calibri" w:cs="Calibri"/>
          <w:color w:val="1F2933"/>
          <w:sz w:val="21"/>
          <w:szCs w:val="21"/>
        </w:rPr>
      </w:pPr>
      <w:r>
        <w:rPr>
          <w:rFonts w:ascii="Calibri" w:hAnsi="Calibri" w:cs="Calibri"/>
          <w:color w:val="1F2933"/>
          <w:sz w:val="21"/>
          <w:szCs w:val="21"/>
        </w:rPr>
        <w:t>Por eso las dos frases que se oyen son ciertas a la vez. «El esfuerzo de los inquilinos baja» describe a los de dentro. «La vivienda es inaccesible» describe a los de fuera. El índice que resume nueve indicadores oficiales lo muestra así (2015 = 100; más alto es peor):</w:t>
      </w:r>
    </w:p>
    <w:tbl>
      <w:tblPr>
        <w:tblW w:w="5000" w:type="pct"/>
        <w:tblCellMar>
          <w:top w:w="15" w:type="dxa"/>
          <w:left w:w="15" w:type="dxa"/>
          <w:bottom w:w="15" w:type="dxa"/>
          <w:right w:w="15" w:type="dxa"/>
        </w:tblCellMar>
        <w:tblLook w:val="04A0" w:firstRow="1" w:lastRow="0" w:firstColumn="1" w:lastColumn="0" w:noHBand="0" w:noVBand="1"/>
      </w:tblPr>
      <w:tblGrid>
        <w:gridCol w:w="5737"/>
        <w:gridCol w:w="1721"/>
        <w:gridCol w:w="1721"/>
        <w:gridCol w:w="1721"/>
        <w:gridCol w:w="1721"/>
        <w:gridCol w:w="1721"/>
      </w:tblGrid>
      <w:tr w:rsidR="00000000" w14:paraId="5276EC00" w14:textId="77777777" w:rsidTr="00EF4029">
        <w:tc>
          <w:tcPr>
            <w:tcW w:w="20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67B6489" w14:textId="77777777" w:rsidR="00EF4029" w:rsidRDefault="00EF4029">
            <w:pPr>
              <w:rPr>
                <w:rFonts w:ascii="Calibri" w:hAnsi="Calibri" w:cs="Calibri"/>
                <w:color w:val="1F2933"/>
                <w:sz w:val="21"/>
                <w:szCs w:val="21"/>
              </w:rPr>
            </w:pPr>
          </w:p>
        </w:tc>
        <w:tc>
          <w:tcPr>
            <w:tcW w:w="6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6CCB04B" w14:textId="77777777" w:rsidR="00EF4029" w:rsidRDefault="00EF4029">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2015</w:t>
            </w:r>
          </w:p>
        </w:tc>
        <w:tc>
          <w:tcPr>
            <w:tcW w:w="6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593DC86" w14:textId="77777777" w:rsidR="00EF4029" w:rsidRDefault="00EF4029">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2019</w:t>
            </w:r>
          </w:p>
        </w:tc>
        <w:tc>
          <w:tcPr>
            <w:tcW w:w="6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47FF21F" w14:textId="77777777" w:rsidR="00EF4029" w:rsidRDefault="00EF4029">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2021</w:t>
            </w:r>
          </w:p>
        </w:tc>
        <w:tc>
          <w:tcPr>
            <w:tcW w:w="6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B786966" w14:textId="77777777" w:rsidR="00EF4029" w:rsidRDefault="00EF4029">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2023</w:t>
            </w:r>
          </w:p>
        </w:tc>
        <w:tc>
          <w:tcPr>
            <w:tcW w:w="6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5705B99" w14:textId="77777777" w:rsidR="00EF4029" w:rsidRDefault="00EF4029">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2025</w:t>
            </w:r>
          </w:p>
        </w:tc>
      </w:tr>
      <w:tr w:rsidR="00000000" w14:paraId="3D7DA21F" w14:textId="77777777" w:rsidTr="00EF4029">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74899A9" w14:textId="77777777" w:rsidR="00EF4029" w:rsidRDefault="00EF4029">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I. Quien ya alquila: lo que pesa el alquiler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73BC42E" w14:textId="77777777" w:rsidR="00EF4029" w:rsidRDefault="00EF4029">
            <w:pPr>
              <w:spacing w:before="60" w:after="180"/>
              <w:rPr>
                <w:rFonts w:ascii="Calibri" w:eastAsia="Times New Roman" w:hAnsi="Calibri" w:cs="Calibri"/>
                <w:color w:val="1F2933"/>
                <w:sz w:val="18"/>
                <w:szCs w:val="18"/>
              </w:rPr>
            </w:pPr>
            <w:r>
              <w:rPr>
                <w:rFonts w:ascii="Calibri" w:eastAsia="Times New Roman" w:hAnsi="Calibri" w:cs="Calibri"/>
                <w:b/>
                <w:bCs/>
                <w:color w:val="52606D"/>
                <w:sz w:val="18"/>
                <w:szCs w:val="18"/>
              </w:rPr>
              <w:t>100,0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AE2061B" w14:textId="77777777" w:rsidR="00EF4029" w:rsidRDefault="00EF4029">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88,7</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C111B24" w14:textId="77777777" w:rsidR="00EF4029" w:rsidRDefault="00EF4029">
            <w:pPr>
              <w:spacing w:before="60" w:after="180"/>
              <w:rPr>
                <w:rFonts w:ascii="Calibri" w:eastAsia="Times New Roman" w:hAnsi="Calibri" w:cs="Calibri"/>
                <w:color w:val="1F2933"/>
                <w:sz w:val="18"/>
                <w:szCs w:val="18"/>
              </w:rPr>
            </w:pPr>
            <w:r>
              <w:rPr>
                <w:rFonts w:ascii="Calibri" w:eastAsia="Times New Roman" w:hAnsi="Calibri" w:cs="Calibri"/>
                <w:b/>
                <w:bCs/>
                <w:color w:val="52606D"/>
                <w:sz w:val="18"/>
                <w:szCs w:val="18"/>
              </w:rPr>
              <w:t>97,8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4B0C0C" w14:textId="77777777" w:rsidR="00EF4029" w:rsidRDefault="00EF4029">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77,4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19E547" w14:textId="77777777" w:rsidR="00EF4029" w:rsidRDefault="00EF4029">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71,4</w:t>
            </w:r>
          </w:p>
        </w:tc>
      </w:tr>
      <w:tr w:rsidR="00000000" w14:paraId="7D3600BC" w14:textId="77777777" w:rsidTr="00EF4029">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C14420" w14:textId="77777777" w:rsidR="00EF4029" w:rsidRDefault="00EF4029">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II. Quien no entra, o entra compartiendo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C5F3053" w14:textId="77777777" w:rsidR="00EF4029" w:rsidRDefault="00EF4029">
            <w:pPr>
              <w:spacing w:before="60" w:after="180"/>
              <w:rPr>
                <w:rFonts w:ascii="Calibri" w:eastAsia="Times New Roman" w:hAnsi="Calibri" w:cs="Calibri"/>
                <w:color w:val="1F2933"/>
                <w:sz w:val="18"/>
                <w:szCs w:val="18"/>
              </w:rPr>
            </w:pPr>
            <w:r>
              <w:rPr>
                <w:rFonts w:ascii="Calibri" w:eastAsia="Times New Roman" w:hAnsi="Calibri" w:cs="Calibri"/>
                <w:b/>
                <w:bCs/>
                <w:color w:val="52606D"/>
                <w:sz w:val="18"/>
                <w:szCs w:val="18"/>
              </w:rPr>
              <w:t>100,0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ACDE2E8" w14:textId="77777777" w:rsidR="00EF4029" w:rsidRDefault="00EF4029">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120,8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7869068" w14:textId="77777777" w:rsidR="00EF4029" w:rsidRDefault="00EF4029">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121,9</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05ED37A" w14:textId="77777777" w:rsidR="00EF4029" w:rsidRDefault="00EF4029">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135,0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0E3C62A" w14:textId="77777777" w:rsidR="00EF4029" w:rsidRDefault="00EF4029">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155,9</w:t>
            </w:r>
          </w:p>
        </w:tc>
      </w:tr>
      <w:tr w:rsidR="00000000" w14:paraId="4F2FF9F2" w14:textId="77777777" w:rsidTr="00EF4029">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BC73771" w14:textId="77777777" w:rsidR="00EF4029" w:rsidRDefault="00EF4029">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III. Hogares frágiles: mayores pobres, personas solas, monoparentales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4A6A95D" w14:textId="77777777" w:rsidR="00EF4029" w:rsidRDefault="00EF4029">
            <w:pPr>
              <w:spacing w:before="60" w:after="180"/>
              <w:rPr>
                <w:rFonts w:ascii="Calibri" w:eastAsia="Times New Roman" w:hAnsi="Calibri" w:cs="Calibri"/>
                <w:color w:val="1F2933"/>
                <w:sz w:val="18"/>
                <w:szCs w:val="18"/>
              </w:rPr>
            </w:pPr>
            <w:r>
              <w:rPr>
                <w:rFonts w:ascii="Calibri" w:eastAsia="Times New Roman" w:hAnsi="Calibri" w:cs="Calibri"/>
                <w:b/>
                <w:bCs/>
                <w:color w:val="52606D"/>
                <w:sz w:val="18"/>
                <w:szCs w:val="18"/>
              </w:rPr>
              <w:t>100,0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8BC4148" w14:textId="77777777" w:rsidR="00EF4029" w:rsidRDefault="00EF4029">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81,4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9214197" w14:textId="77777777" w:rsidR="00EF4029" w:rsidRDefault="00EF4029">
            <w:pPr>
              <w:spacing w:before="60" w:after="180"/>
              <w:rPr>
                <w:rFonts w:ascii="Calibri" w:eastAsia="Times New Roman" w:hAnsi="Calibri" w:cs="Calibri"/>
                <w:color w:val="1F2933"/>
                <w:sz w:val="18"/>
                <w:szCs w:val="18"/>
              </w:rPr>
            </w:pPr>
            <w:r>
              <w:rPr>
                <w:rFonts w:ascii="Calibri" w:eastAsia="Times New Roman" w:hAnsi="Calibri" w:cs="Calibri"/>
                <w:b/>
                <w:bCs/>
                <w:color w:val="52606D"/>
                <w:sz w:val="18"/>
                <w:szCs w:val="18"/>
              </w:rPr>
              <w:t>103,2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DE4747" w14:textId="77777777" w:rsidR="00EF4029" w:rsidRDefault="00EF4029">
            <w:pPr>
              <w:spacing w:before="60" w:after="180"/>
              <w:rPr>
                <w:rFonts w:ascii="Calibri" w:eastAsia="Times New Roman" w:hAnsi="Calibri" w:cs="Calibri"/>
                <w:color w:val="1F2933"/>
                <w:sz w:val="18"/>
                <w:szCs w:val="18"/>
              </w:rPr>
            </w:pPr>
            <w:r>
              <w:rPr>
                <w:rFonts w:ascii="Calibri" w:eastAsia="Times New Roman" w:hAnsi="Calibri" w:cs="Calibri"/>
                <w:b/>
                <w:bCs/>
                <w:color w:val="52606D"/>
                <w:sz w:val="18"/>
                <w:szCs w:val="18"/>
              </w:rPr>
              <w:t>95,4</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61275D" w14:textId="77777777" w:rsidR="00EF4029" w:rsidRDefault="00EF4029">
            <w:pPr>
              <w:spacing w:before="60" w:after="180"/>
              <w:rPr>
                <w:rFonts w:ascii="Calibri" w:eastAsia="Times New Roman" w:hAnsi="Calibri" w:cs="Calibri"/>
                <w:color w:val="1F2933"/>
                <w:sz w:val="18"/>
                <w:szCs w:val="18"/>
              </w:rPr>
            </w:pPr>
            <w:r>
              <w:rPr>
                <w:rFonts w:ascii="Calibri" w:eastAsia="Times New Roman" w:hAnsi="Calibri" w:cs="Calibri"/>
                <w:b/>
                <w:bCs/>
                <w:color w:val="276749"/>
                <w:sz w:val="18"/>
                <w:szCs w:val="18"/>
              </w:rPr>
              <w:t>90,3</w:t>
            </w:r>
          </w:p>
        </w:tc>
      </w:tr>
      <w:tr w:rsidR="00000000" w14:paraId="66B59412" w14:textId="77777777" w:rsidTr="00EF4029">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94869C" w14:textId="77777777" w:rsidR="00EF4029" w:rsidRDefault="00EF4029">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Índice de sostenibilidad social</w:t>
            </w:r>
            <w:r>
              <w:rPr>
                <w:rFonts w:ascii="Calibri" w:eastAsia="Times New Roman" w:hAnsi="Calibri" w:cs="Calibri"/>
                <w:color w:val="1F2933"/>
                <w:sz w:val="18"/>
                <w:szCs w:val="18"/>
              </w:rPr>
              <w:t xml:space="preserve"> (media de los tres)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2FD1CBD" w14:textId="77777777" w:rsidR="00EF4029" w:rsidRDefault="00EF4029">
            <w:pPr>
              <w:spacing w:before="60" w:after="180"/>
              <w:rPr>
                <w:rFonts w:ascii="Calibri" w:eastAsia="Times New Roman" w:hAnsi="Calibri" w:cs="Calibri"/>
                <w:color w:val="1F2933"/>
                <w:sz w:val="18"/>
                <w:szCs w:val="18"/>
              </w:rPr>
            </w:pPr>
            <w:r>
              <w:rPr>
                <w:rFonts w:ascii="Calibri" w:eastAsia="Times New Roman" w:hAnsi="Calibri" w:cs="Calibri"/>
                <w:b/>
                <w:bCs/>
                <w:color w:val="52606D"/>
                <w:sz w:val="18"/>
                <w:szCs w:val="18"/>
              </w:rPr>
              <w:t>100,0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344411F" w14:textId="77777777" w:rsidR="00EF4029" w:rsidRDefault="00EF4029">
            <w:pPr>
              <w:spacing w:before="60" w:after="180"/>
              <w:rPr>
                <w:rFonts w:ascii="Calibri" w:eastAsia="Times New Roman" w:hAnsi="Calibri" w:cs="Calibri"/>
                <w:color w:val="1F2933"/>
                <w:sz w:val="18"/>
                <w:szCs w:val="18"/>
              </w:rPr>
            </w:pPr>
            <w:r>
              <w:rPr>
                <w:rFonts w:ascii="Calibri" w:eastAsia="Times New Roman" w:hAnsi="Calibri" w:cs="Calibri"/>
                <w:b/>
                <w:bCs/>
                <w:color w:val="52606D"/>
                <w:sz w:val="18"/>
                <w:szCs w:val="18"/>
              </w:rPr>
              <w:t>97,0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C832085" w14:textId="77777777" w:rsidR="00EF4029" w:rsidRDefault="00EF4029">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107,6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837B7C" w14:textId="77777777" w:rsidR="00EF4029" w:rsidRDefault="00EF4029">
            <w:pPr>
              <w:spacing w:before="60" w:after="180"/>
              <w:rPr>
                <w:rFonts w:ascii="Calibri" w:eastAsia="Times New Roman" w:hAnsi="Calibri" w:cs="Calibri"/>
                <w:color w:val="1F2933"/>
                <w:sz w:val="18"/>
                <w:szCs w:val="18"/>
              </w:rPr>
            </w:pPr>
            <w:r>
              <w:rPr>
                <w:rFonts w:ascii="Calibri" w:eastAsia="Times New Roman" w:hAnsi="Calibri" w:cs="Calibri"/>
                <w:b/>
                <w:bCs/>
                <w:color w:val="52606D"/>
                <w:sz w:val="18"/>
                <w:szCs w:val="18"/>
              </w:rPr>
              <w:t>102,6</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82536D7" w14:textId="77777777" w:rsidR="00EF4029" w:rsidRDefault="00EF4029">
            <w:pPr>
              <w:spacing w:before="60" w:after="180"/>
              <w:rPr>
                <w:rFonts w:ascii="Calibri" w:eastAsia="Times New Roman" w:hAnsi="Calibri" w:cs="Calibri"/>
                <w:color w:val="1F2933"/>
                <w:sz w:val="18"/>
                <w:szCs w:val="18"/>
              </w:rPr>
            </w:pPr>
            <w:r>
              <w:rPr>
                <w:rFonts w:ascii="Calibri" w:eastAsia="Times New Roman" w:hAnsi="Calibri" w:cs="Calibri"/>
                <w:b/>
                <w:bCs/>
                <w:color w:val="C05621"/>
                <w:sz w:val="18"/>
                <w:szCs w:val="18"/>
              </w:rPr>
              <w:t>105,9</w:t>
            </w:r>
          </w:p>
        </w:tc>
      </w:tr>
    </w:tbl>
    <w:p w14:paraId="5EFE58B2" w14:textId="77777777" w:rsidR="00EF4029" w:rsidRDefault="00EF4029">
      <w:pPr>
        <w:pStyle w:val="NormalWeb"/>
        <w:rPr>
          <w:rFonts w:ascii="Calibri" w:hAnsi="Calibri" w:cs="Calibri"/>
          <w:color w:val="1F2933"/>
          <w:sz w:val="21"/>
          <w:szCs w:val="21"/>
        </w:rPr>
      </w:pPr>
      <w:r>
        <w:rPr>
          <w:rFonts w:ascii="Calibri" w:hAnsi="Calibri" w:cs="Calibri"/>
          <w:color w:val="1F2933"/>
          <w:sz w:val="21"/>
          <w:szCs w:val="21"/>
        </w:rPr>
        <w:t>El número de abajo casi no se mueve y no dice nada. Los de arriba cuentan la historia: el daño ha pasado de «pagar demasiado» a «no poder entrar» y «vivir apretado».</w:t>
      </w:r>
    </w:p>
    <w:p w14:paraId="5E9D7C8E" w14:textId="77777777" w:rsidR="00EF4029" w:rsidRDefault="00EF4029">
      <w:pPr>
        <w:pStyle w:val="Ttulo3"/>
        <w:rPr>
          <w:rFonts w:ascii="Calibri" w:eastAsia="Times New Roman" w:hAnsi="Calibri" w:cs="Calibri"/>
        </w:rPr>
      </w:pPr>
      <w:r>
        <w:rPr>
          <w:rFonts w:ascii="Calibri" w:eastAsia="Times New Roman" w:hAnsi="Calibri" w:cs="Calibri"/>
        </w:rPr>
        <w:t>Es, sobre todo, una cuestión de edad</w:t>
      </w:r>
    </w:p>
    <w:p w14:paraId="5AC02FE5" w14:textId="77777777" w:rsidR="00EF4029" w:rsidRDefault="00EF4029">
      <w:pPr>
        <w:pStyle w:val="NormalWeb"/>
        <w:rPr>
          <w:rFonts w:ascii="Calibri" w:hAnsi="Calibri" w:cs="Calibri"/>
          <w:color w:val="1F2933"/>
          <w:sz w:val="21"/>
          <w:szCs w:val="21"/>
        </w:rPr>
      </w:pPr>
      <w:r>
        <w:rPr>
          <w:rFonts w:ascii="Calibri" w:hAnsi="Calibri" w:cs="Calibri"/>
          <w:color w:val="1F2933"/>
          <w:sz w:val="21"/>
          <w:szCs w:val="21"/>
        </w:rPr>
        <w:t>Entre los hogares de 30 a 44 años, los que son propietarios caen del 74,3 % en 2007 al 53,1 % en 2025, y los que alquilan a precio de mercado se duplican. Entre los mayores de 65 casi nada cambia: el 88 % es propietario. Los salarios de los jóvenes han subido más que la media, también descontando la inflación. No ganan menos que hace diez años: les cuesta mucho más entrar.</w:t>
      </w:r>
    </w:p>
    <w:p w14:paraId="19FA5C01" w14:textId="77777777" w:rsidR="00EF4029" w:rsidRDefault="00EF4029">
      <w:pPr>
        <w:pStyle w:val="Ttulo3"/>
        <w:rPr>
          <w:rFonts w:ascii="Calibri" w:eastAsia="Times New Roman" w:hAnsi="Calibri" w:cs="Calibri"/>
        </w:rPr>
      </w:pPr>
      <w:r>
        <w:rPr>
          <w:rFonts w:ascii="Calibri" w:eastAsia="Times New Roman" w:hAnsi="Calibri" w:cs="Calibri"/>
        </w:rPr>
        <w:t>El turismo pesa, y pesa donde se concentra</w:t>
      </w:r>
    </w:p>
    <w:p w14:paraId="34A856D9" w14:textId="77777777" w:rsidR="00EF4029" w:rsidRDefault="00EF4029">
      <w:pPr>
        <w:pStyle w:val="NormalWeb"/>
        <w:rPr>
          <w:rFonts w:ascii="Calibri" w:hAnsi="Calibri" w:cs="Calibri"/>
          <w:color w:val="1F2933"/>
          <w:sz w:val="21"/>
          <w:szCs w:val="21"/>
        </w:rPr>
      </w:pPr>
      <w:r>
        <w:rPr>
          <w:rFonts w:ascii="Calibri" w:hAnsi="Calibri" w:cs="Calibri"/>
          <w:color w:val="1F2933"/>
          <w:sz w:val="21"/>
          <w:szCs w:val="21"/>
        </w:rPr>
        <w:t>España recibió 96,8 millones de turistas en 2025, frente a 83,5 en 2019, y las noches en alojamientos de plataformas pasaron de 106 a 190 millones. Según la patronal turística, una vivienda ingresa en alquiler turístico unas dos veces y media lo que ingresaría alquilada a un residente. En Barcelona, un estudio que aísla la causa encontró que el uso turístico encareció el alquiler cerca de un 2 % de media y un 7 % en los barrios con más presión.</w:t>
      </w:r>
    </w:p>
    <w:p w14:paraId="39189D6C" w14:textId="77777777" w:rsidR="00EF4029" w:rsidRDefault="00EF4029">
      <w:pPr>
        <w:pStyle w:val="NormalWeb"/>
        <w:rPr>
          <w:rFonts w:ascii="Calibri" w:hAnsi="Calibri" w:cs="Calibri"/>
          <w:color w:val="1F2933"/>
          <w:sz w:val="21"/>
          <w:szCs w:val="21"/>
        </w:rPr>
      </w:pPr>
      <w:r>
        <w:rPr>
          <w:rFonts w:ascii="Calibri" w:hAnsi="Calibri" w:cs="Calibri"/>
          <w:color w:val="1F2933"/>
          <w:sz w:val="21"/>
          <w:szCs w:val="21"/>
        </w:rPr>
        <w:t>La cifra que se suele dar, que son el 1,3 % de las viviendas del país, no dice nada, porque no están repartidas: están en el centro. Son el 5 % de las viviendas del distrito Centro de Madrid y el 13 % en el distrito más turístico de Sevilla, y hay calles del centro de Málaga donde pasan de la mitad. Medidas sobre lo que de verdad compite con ellas, las viviendas que los particulares alquilan en la zona, el Banco de España calcula que suponen el 45 % del mercado en el centro turístico de Sevilla y de Málaga,</w:t>
      </w:r>
      <w:r>
        <w:rPr>
          <w:rFonts w:ascii="Calibri" w:hAnsi="Calibri" w:cs="Calibri"/>
          <w:color w:val="1F2933"/>
          <w:sz w:val="21"/>
          <w:szCs w:val="21"/>
        </w:rPr>
        <w:t xml:space="preserve"> el 22 % en el de Barcelona y el 15 % en el de Madrid.</w:t>
      </w:r>
    </w:p>
    <w:p w14:paraId="005C02DE" w14:textId="77777777" w:rsidR="00EF4029" w:rsidRDefault="00EF4029">
      <w:pPr>
        <w:pStyle w:val="NormalWeb"/>
        <w:rPr>
          <w:rFonts w:ascii="Calibri" w:hAnsi="Calibri" w:cs="Calibri"/>
          <w:color w:val="1F2933"/>
          <w:sz w:val="21"/>
          <w:szCs w:val="21"/>
        </w:rPr>
      </w:pPr>
      <w:r>
        <w:rPr>
          <w:rFonts w:ascii="Calibri" w:hAnsi="Calibri" w:cs="Calibri"/>
          <w:color w:val="1F2933"/>
          <w:sz w:val="21"/>
          <w:szCs w:val="21"/>
        </w:rPr>
        <w:t>En Madrid, cada piso turístico supone un hogar menos en el barrio, según un estudio de 128 barrios; en Barcelona, ochenta hogares menos por cada cien anuncios. Lo que nadie ha podido medir es qué era antes cada una de esas viviendas (si estaba vacía, alquilada o era segunda residencia) ni adónde va cuando deja de ser turística: los registros que permitirían saberlo no se cruzan.</w:t>
      </w:r>
    </w:p>
    <w:p w14:paraId="64E6AED3" w14:textId="77777777" w:rsidR="00EF4029" w:rsidRDefault="00EF4029">
      <w:pPr>
        <w:pStyle w:val="Ttulo3"/>
        <w:rPr>
          <w:rFonts w:ascii="Calibri" w:eastAsia="Times New Roman" w:hAnsi="Calibri" w:cs="Calibri"/>
        </w:rPr>
      </w:pPr>
      <w:r>
        <w:rPr>
          <w:rFonts w:ascii="Calibri" w:eastAsia="Times New Roman" w:hAnsi="Calibri" w:cs="Calibri"/>
        </w:rPr>
        <w:t>«Los fondos» son dos actores distintos</w:t>
      </w:r>
    </w:p>
    <w:p w14:paraId="00CDCCFE" w14:textId="77777777" w:rsidR="00EF4029" w:rsidRDefault="00EF4029">
      <w:pPr>
        <w:pStyle w:val="NormalWeb"/>
        <w:rPr>
          <w:rFonts w:ascii="Calibri" w:hAnsi="Calibri" w:cs="Calibri"/>
          <w:color w:val="1F2933"/>
          <w:sz w:val="21"/>
          <w:szCs w:val="21"/>
        </w:rPr>
      </w:pPr>
      <w:r>
        <w:rPr>
          <w:rFonts w:ascii="Calibri" w:hAnsi="Calibri" w:cs="Calibri"/>
          <w:color w:val="1F2933"/>
          <w:sz w:val="21"/>
          <w:szCs w:val="21"/>
        </w:rPr>
        <w:t>Los grandes fondos internacionales compraron carteras de bancos y vivienda pública, sobre todo en la periferia, y las explotan como alquiler de larga duración, con subidas de renta: en los bloques de vivienda pública de Carabanchel que compró uno de ellos, los ingresos por alquiler subieron un 38 % en tres años. Quienes compran edificios céntricos para vaciarlos y pasarlos a turístico, lujo o alquiler por meses son otros: inversores locales medianos y sociedades pequeñas. En Barcelona, el 56 % de las licenc</w:t>
      </w:r>
      <w:r>
        <w:rPr>
          <w:rFonts w:ascii="Calibri" w:hAnsi="Calibri" w:cs="Calibri"/>
          <w:color w:val="1F2933"/>
          <w:sz w:val="21"/>
          <w:szCs w:val="21"/>
        </w:rPr>
        <w:t>ias turísticas es de empresas, pero ninguna tiene más de 200 pisos.</w:t>
      </w:r>
    </w:p>
    <w:p w14:paraId="723DE331" w14:textId="77777777" w:rsidR="00EF4029" w:rsidRDefault="00EF4029">
      <w:pPr>
        <w:pStyle w:val="NormalWeb"/>
        <w:rPr>
          <w:rFonts w:ascii="Calibri" w:hAnsi="Calibri" w:cs="Calibri"/>
          <w:color w:val="1F2933"/>
          <w:sz w:val="21"/>
          <w:szCs w:val="21"/>
        </w:rPr>
      </w:pPr>
      <w:r>
        <w:rPr>
          <w:rFonts w:ascii="Calibri" w:hAnsi="Calibri" w:cs="Calibri"/>
          <w:color w:val="1F2933"/>
          <w:sz w:val="21"/>
          <w:szCs w:val="21"/>
        </w:rPr>
        <w:lastRenderedPageBreak/>
        <w:t>Sobre quién tiene qué hay más datos de los que se cree. Según el Catastro, 26.897 titulares poseen más de diez viviendas cada uno y reúnen algo más de un millón, el 4,3 % de todas, sin contar País Vasco ni Navarra; más de la mitad de esas viviendas es de sociedades y otras entidades privadas. Entre los particulares el alquiler está repartido: la mitad de las viviendas alquiladas es de quien alquila una sola. Lo que no existe es el dato que cerraría la discusión: cuántas de las viviendas de los grandes propi</w:t>
      </w:r>
      <w:r>
        <w:rPr>
          <w:rFonts w:ascii="Calibri" w:hAnsi="Calibri" w:cs="Calibri"/>
          <w:color w:val="1F2933"/>
          <w:sz w:val="21"/>
          <w:szCs w:val="21"/>
        </w:rPr>
        <w:t>etarios están en alquiler. Y no hay ninguna medición para España de cuánto encarecen el alquiler.</w:t>
      </w:r>
    </w:p>
    <w:p w14:paraId="4B41D479" w14:textId="77777777" w:rsidR="00EF4029" w:rsidRDefault="00EF4029">
      <w:pPr>
        <w:pStyle w:val="Ttulo3"/>
        <w:rPr>
          <w:rFonts w:ascii="Calibri" w:eastAsia="Times New Roman" w:hAnsi="Calibri" w:cs="Calibri"/>
        </w:rPr>
      </w:pPr>
      <w:r>
        <w:rPr>
          <w:rFonts w:ascii="Calibri" w:eastAsia="Times New Roman" w:hAnsi="Calibri" w:cs="Calibri"/>
        </w:rPr>
        <w:t>La inmigración: quien presiona el alquiler, quien más lo sufre y quien construye</w:t>
      </w:r>
    </w:p>
    <w:p w14:paraId="37810D22" w14:textId="77777777" w:rsidR="00EF4029" w:rsidRDefault="00EF4029">
      <w:pPr>
        <w:pStyle w:val="NormalWeb"/>
        <w:rPr>
          <w:rFonts w:ascii="Calibri" w:hAnsi="Calibri" w:cs="Calibri"/>
          <w:color w:val="1F2933"/>
          <w:sz w:val="21"/>
          <w:szCs w:val="21"/>
        </w:rPr>
      </w:pPr>
      <w:r>
        <w:rPr>
          <w:rFonts w:ascii="Calibri" w:hAnsi="Calibri" w:cs="Calibri"/>
          <w:color w:val="1F2933"/>
          <w:sz w:val="21"/>
          <w:szCs w:val="21"/>
        </w:rPr>
        <w:t>Todo el aumento de población de España es inmigración: entre 2021 y 2025 los nacidos fuera aumentan en 2,2 millones y los nacidos en España bajan en medio millón. Llegan porque hay trabajo: ocuparon tres de cada cuatro empleos creados entre 2019 y 2024. Viven de alquiler mucho más que el resto (el 63 % de los hogares de fuera de la Unión Europea, frente al 11 % de los españoles) y ganan menos: su salario medio es el 78 % del de los españoles, y casi la mitad de los que vienen de fuera de la Unión está en ri</w:t>
      </w:r>
      <w:r>
        <w:rPr>
          <w:rFonts w:ascii="Calibri" w:hAnsi="Calibri" w:cs="Calibri"/>
          <w:color w:val="1F2933"/>
          <w:sz w:val="21"/>
          <w:szCs w:val="21"/>
        </w:rPr>
        <w:t>esgo de pobreza.</w:t>
      </w:r>
    </w:p>
    <w:p w14:paraId="6CE1AFC2" w14:textId="77777777" w:rsidR="00EF4029" w:rsidRDefault="00EF4029">
      <w:pPr>
        <w:pStyle w:val="NormalWeb"/>
        <w:rPr>
          <w:rFonts w:ascii="Calibri" w:hAnsi="Calibri" w:cs="Calibri"/>
          <w:color w:val="1F2933"/>
          <w:sz w:val="21"/>
          <w:szCs w:val="21"/>
        </w:rPr>
      </w:pPr>
      <w:r>
        <w:rPr>
          <w:rFonts w:ascii="Calibri" w:hAnsi="Calibri" w:cs="Calibri"/>
          <w:color w:val="1F2933"/>
          <w:sz w:val="21"/>
          <w:szCs w:val="21"/>
        </w:rPr>
        <w:t>Tres matices que el debate suele saltarse. No es cierto que lo normal sea trabajar sin papeles: la mejor estimación da uno de cada cuatro ocupados de fuera de la Unión sin alta en la Seguridad Social, una minoría grande. No es un grupo uniforme: uno de cada cinco es directivo, técnico o profesional, y hay compradores extranjeros que pagan casi el doble que los nacionales por metro cuadrado. Y son también la oferta: el 27 % de los asalariados de la construcción son extranjeros, en un sector donde seis de cad</w:t>
      </w:r>
      <w:r>
        <w:rPr>
          <w:rFonts w:ascii="Calibri" w:hAnsi="Calibri" w:cs="Calibri"/>
          <w:color w:val="1F2933"/>
          <w:sz w:val="21"/>
          <w:szCs w:val="21"/>
        </w:rPr>
        <w:t>a diez empresas dicen que les falta personal.</w:t>
      </w:r>
    </w:p>
    <w:p w14:paraId="2920A096" w14:textId="77777777" w:rsidR="00EF4029" w:rsidRDefault="00EF4029">
      <w:pPr>
        <w:pStyle w:val="NormalWeb"/>
        <w:rPr>
          <w:rFonts w:ascii="Calibri" w:hAnsi="Calibri" w:cs="Calibri"/>
          <w:color w:val="1F2933"/>
          <w:sz w:val="21"/>
          <w:szCs w:val="21"/>
        </w:rPr>
      </w:pPr>
      <w:r>
        <w:rPr>
          <w:rFonts w:ascii="Calibri" w:hAnsi="Calibri" w:cs="Calibri"/>
          <w:color w:val="1F2933"/>
          <w:sz w:val="21"/>
          <w:szCs w:val="21"/>
        </w:rPr>
        <w:t>Como los inquilinos en general, absorben el precio compartiendo: entre los extranjeros, la proporción que vive en viviendas sobreocupadas se ha duplicado en diez años, del 9,6 % al 19,3 %.</w:t>
      </w:r>
    </w:p>
    <w:p w14:paraId="63BD5EC0" w14:textId="77777777" w:rsidR="00EF4029" w:rsidRDefault="00EF4029">
      <w:pPr>
        <w:pStyle w:val="Ttulo3"/>
        <w:rPr>
          <w:rFonts w:ascii="Calibri" w:eastAsia="Times New Roman" w:hAnsi="Calibri" w:cs="Calibri"/>
        </w:rPr>
      </w:pPr>
      <w:r>
        <w:rPr>
          <w:rFonts w:ascii="Calibri" w:eastAsia="Times New Roman" w:hAnsi="Calibri" w:cs="Calibri"/>
        </w:rPr>
        <w:t>La vivienda pública funciona para quien la recibe</w:t>
      </w:r>
    </w:p>
    <w:p w14:paraId="72E8D7CB" w14:textId="77777777" w:rsidR="00EF4029" w:rsidRDefault="00EF4029">
      <w:pPr>
        <w:pStyle w:val="NormalWeb"/>
        <w:rPr>
          <w:rFonts w:ascii="Calibri" w:hAnsi="Calibri" w:cs="Calibri"/>
          <w:color w:val="1F2933"/>
          <w:sz w:val="21"/>
          <w:szCs w:val="21"/>
        </w:rPr>
      </w:pPr>
      <w:r>
        <w:rPr>
          <w:rFonts w:ascii="Calibri" w:hAnsi="Calibri" w:cs="Calibri"/>
          <w:color w:val="1F2933"/>
          <w:sz w:val="21"/>
          <w:szCs w:val="21"/>
        </w:rPr>
        <w:t>España tiene unas 300.000 viviendas de alquiler social, el 1,5 % de las viviendas principales; la media europea ronda el 8 %. Cuando a una persona sin hogar se le da una vivienda con apoyo, el 96 % la conserva año y medio después; sin ella, una de cada cuatro sigue en la calle. Lo que no se ha medido es cuánto mejora el conjunto por cada vivienda pública añadida, ni cuánta construcción privada deja de hacerse.</w:t>
      </w:r>
    </w:p>
    <w:p w14:paraId="69AB8419" w14:textId="77777777" w:rsidR="00EF4029" w:rsidRDefault="00EF4029">
      <w:pPr>
        <w:pStyle w:val="NormalWeb"/>
        <w:rPr>
          <w:rFonts w:ascii="Calibri" w:hAnsi="Calibri" w:cs="Calibri"/>
          <w:color w:val="1F2933"/>
          <w:sz w:val="21"/>
          <w:szCs w:val="21"/>
        </w:rPr>
      </w:pPr>
      <w:r>
        <w:rPr>
          <w:rFonts w:ascii="Calibri" w:hAnsi="Calibri" w:cs="Calibri"/>
          <w:color w:val="1F2933"/>
          <w:sz w:val="21"/>
          <w:szCs w:val="21"/>
        </w:rPr>
        <w:t>Las formas de conseguirla cuestan muy distinto. En el País Vasco, construir una vivienda de alquiler protegido costaba 134.000 euros y comprarla 82.000; alquilar una vivienda vacía a su dueño para realquilarla barata costaba 4.900 euros al año. Y la versión sin dinero, que solo asegura al dueño contra el impago, apenas captó viviendas.</w:t>
      </w:r>
    </w:p>
    <w:p w14:paraId="73F7AEF0" w14:textId="77777777" w:rsidR="00EF4029" w:rsidRDefault="00EF4029">
      <w:pPr>
        <w:pStyle w:val="Ttulo2"/>
        <w:rPr>
          <w:rFonts w:ascii="Calibri" w:eastAsia="Times New Roman" w:hAnsi="Calibri" w:cs="Calibri"/>
        </w:rPr>
      </w:pPr>
      <w:r>
        <w:rPr>
          <w:rFonts w:ascii="Calibri" w:eastAsia="Times New Roman" w:hAnsi="Calibri" w:cs="Calibri"/>
        </w:rPr>
        <w:t>4. Lo que cada mirada ve, y lo que deja fuera</w:t>
      </w:r>
    </w:p>
    <w:tbl>
      <w:tblPr>
        <w:tblW w:w="5000" w:type="pct"/>
        <w:tblCellMar>
          <w:top w:w="15" w:type="dxa"/>
          <w:left w:w="15" w:type="dxa"/>
          <w:bottom w:w="15" w:type="dxa"/>
          <w:right w:w="15" w:type="dxa"/>
        </w:tblCellMar>
        <w:tblLook w:val="04A0" w:firstRow="1" w:lastRow="0" w:firstColumn="1" w:lastColumn="0" w:noHBand="0" w:noVBand="1"/>
      </w:tblPr>
      <w:tblGrid>
        <w:gridCol w:w="3156"/>
        <w:gridCol w:w="5593"/>
        <w:gridCol w:w="5593"/>
      </w:tblGrid>
      <w:tr w:rsidR="00000000" w14:paraId="5BE220D7" w14:textId="77777777" w:rsidTr="00EF4029">
        <w:tc>
          <w:tcPr>
            <w:tcW w:w="11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FFF10B0" w14:textId="77777777" w:rsidR="00EF4029" w:rsidRDefault="00EF4029">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Lo que se dice</w:t>
            </w:r>
          </w:p>
        </w:tc>
        <w:tc>
          <w:tcPr>
            <w:tcW w:w="19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7303887" w14:textId="77777777" w:rsidR="00EF4029" w:rsidRDefault="00EF4029">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En qué acierta</w:t>
            </w:r>
          </w:p>
        </w:tc>
        <w:tc>
          <w:tcPr>
            <w:tcW w:w="0" w:type="auto"/>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0FF59858" w14:textId="77777777" w:rsidR="00EF4029" w:rsidRDefault="00EF4029">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Qué deja fuera</w:t>
            </w:r>
          </w:p>
        </w:tc>
      </w:tr>
      <w:tr w:rsidR="00000000" w14:paraId="51742756" w14:textId="77777777" w:rsidTr="00EF4029">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12ACC7" w14:textId="77777777" w:rsidR="00EF4029" w:rsidRDefault="00EF4029">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«Falta construir; hay que liberar suelo y quitar trabas»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07B0B83" w14:textId="77777777" w:rsidR="00EF4029" w:rsidRDefault="00EF4029">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Se forman unos 250.000 hogares al año y se terminan menos de 100.000 viviendas. Agilizar el suelo es la única medida que no perjudica a nadie de entrada.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B75636D" w14:textId="77777777" w:rsidR="00EF4029" w:rsidRDefault="00EF4029">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Tarda años y no llega a quien alquila hoy. Con la evidencia más firme, no mejora ninguno de los quince resultados sociales. Y, según una de las grandes tasadoras, la vivienda nueva se dirige a quien más puede pagar.</w:t>
            </w:r>
          </w:p>
        </w:tc>
      </w:tr>
      <w:tr w:rsidR="00000000" w14:paraId="312BB86F" w14:textId="77777777" w:rsidTr="00EF4029">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15E6CE" w14:textId="77777777" w:rsidR="00EF4029" w:rsidRDefault="00EF4029">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«El capital que invierte en vivienda es la solución, no el problema»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446181" w14:textId="77777777" w:rsidR="00EF4029" w:rsidRDefault="00EF4029">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Los inversores profesionales han entregado vivienda de alquiler nueva, y prohibirles comprar no bajó los precios en Países Bajos.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415D3E4C" w14:textId="77777777" w:rsidR="00EF4029" w:rsidRDefault="00EF4029">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Cuando compran vivienda que ya existe, suben la renta más que otros caseros. Mejorarles el trato fiscal es la segunda peor medida de las veintiséis analizadas.</w:t>
            </w:r>
          </w:p>
        </w:tc>
      </w:tr>
      <w:tr w:rsidR="00000000" w14:paraId="023C392A" w14:textId="77777777" w:rsidTr="00EF4029">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54F5775" w14:textId="77777777" w:rsidR="00EF4029" w:rsidRDefault="00EF4029">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«Es especulación; basta con topar los precios y proteger al inquilino»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FDB1B3C" w14:textId="77777777" w:rsidR="00EF4029" w:rsidRDefault="00EF4029">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El tope baja el alquiler de quien tiene contrato, con evidencia sólida. La protección evita desahucios.</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3B0D731" w14:textId="77777777" w:rsidR="00EF4029" w:rsidRDefault="00EF4029">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Protegen a quien está dentro y dificultan la entrada a quien busca: hay menos contratos nuevos, más selección de inquilinos y más discriminación. Parte de la oferta se escapa al alquiler por meses y por habitaciones.</w:t>
            </w:r>
          </w:p>
        </w:tc>
      </w:tr>
      <w:tr w:rsidR="00000000" w14:paraId="44FC9906" w14:textId="77777777" w:rsidTr="00EF4029">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B69A2E0" w14:textId="77777777" w:rsidR="00EF4029" w:rsidRDefault="00EF4029">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«El problema es la inmigración» o «el problema es el turismo»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9A4211" w14:textId="77777777" w:rsidR="00EF4029" w:rsidRDefault="00EF4029">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Las dos cosas presionan la demanda, y hay estudios que lo miden.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EE57D15" w14:textId="77777777" w:rsidR="00EF4029" w:rsidRDefault="00EF4029">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La inmigración es también quien más sufre el alquiler y quien construye. El turismo pesa mucho en los centros y nada en la mayor parte del país.</w:t>
            </w:r>
          </w:p>
        </w:tc>
      </w:tr>
    </w:tbl>
    <w:p w14:paraId="2987418A" w14:textId="77777777" w:rsidR="00EF4029" w:rsidRDefault="00EF4029">
      <w:pPr>
        <w:pStyle w:val="Ttulo2"/>
        <w:rPr>
          <w:rFonts w:ascii="Calibri" w:eastAsia="Times New Roman" w:hAnsi="Calibri" w:cs="Calibri"/>
        </w:rPr>
      </w:pPr>
      <w:r>
        <w:rPr>
          <w:rFonts w:ascii="Calibri" w:eastAsia="Times New Roman" w:hAnsi="Calibri" w:cs="Calibri"/>
        </w:rPr>
        <w:t>5. Siete ideas que se pueden defender</w:t>
      </w:r>
    </w:p>
    <w:p w14:paraId="44EA141D" w14:textId="77777777" w:rsidR="00EF4029" w:rsidRDefault="00EF4029">
      <w:pPr>
        <w:pStyle w:val="NormalWeb"/>
        <w:rPr>
          <w:rFonts w:ascii="Calibri" w:hAnsi="Calibri" w:cs="Calibri"/>
          <w:color w:val="1F2933"/>
          <w:sz w:val="21"/>
          <w:szCs w:val="21"/>
        </w:rPr>
      </w:pPr>
      <w:r>
        <w:rPr>
          <w:rFonts w:ascii="Calibri" w:hAnsi="Calibri" w:cs="Calibri"/>
          <w:color w:val="1F2933"/>
          <w:sz w:val="21"/>
          <w:szCs w:val="21"/>
        </w:rPr>
        <w:t>Cada una dice qué la sostiene y qué la haría caer. El número entre paréntesis es el saldo del cálculo: resultados sociales que mejoran menos los que empeoran, de quince; el segundo, usando solo la evidencia más firme.</w:t>
      </w:r>
    </w:p>
    <w:p w14:paraId="6312733A" w14:textId="77777777" w:rsidR="00EF4029" w:rsidRDefault="00EF4029">
      <w:pPr>
        <w:pStyle w:val="Ttulo3"/>
        <w:rPr>
          <w:rFonts w:ascii="Calibri" w:eastAsia="Times New Roman" w:hAnsi="Calibri" w:cs="Calibri"/>
        </w:rPr>
      </w:pPr>
      <w:r>
        <w:rPr>
          <w:rFonts w:ascii="Calibri" w:eastAsia="Times New Roman" w:hAnsi="Calibri" w:cs="Calibri"/>
        </w:rPr>
        <w:t>1. El objetivo ya no es solo que el alquiler pese menos: es que se pueda entrar</w:t>
      </w:r>
    </w:p>
    <w:p w14:paraId="55DB57FA" w14:textId="77777777" w:rsidR="00EF4029" w:rsidRDefault="00EF4029">
      <w:pPr>
        <w:pStyle w:val="NormalWeb"/>
        <w:rPr>
          <w:rFonts w:ascii="Calibri" w:hAnsi="Calibri" w:cs="Calibri"/>
          <w:color w:val="1F2933"/>
          <w:sz w:val="21"/>
          <w:szCs w:val="21"/>
        </w:rPr>
      </w:pPr>
      <w:r>
        <w:rPr>
          <w:rFonts w:ascii="Calibri" w:hAnsi="Calibri" w:cs="Calibri"/>
          <w:b/>
          <w:bCs/>
          <w:color w:val="1F2933"/>
          <w:sz w:val="21"/>
          <w:szCs w:val="21"/>
        </w:rPr>
        <w:t>Por qué.</w:t>
      </w:r>
      <w:r>
        <w:rPr>
          <w:rFonts w:ascii="Calibri" w:hAnsi="Calibri" w:cs="Calibri"/>
          <w:color w:val="1F2933"/>
          <w:sz w:val="21"/>
          <w:szCs w:val="21"/>
        </w:rPr>
        <w:t xml:space="preserve"> Los indicadores de quien ya alquila mejoran y los de quien no entra empeoran más de la mitad. Una política que solo mire el esfuerzo de los inquilinos actuales puede darse por satisfecha mientras el problema crece fuera.</w:t>
      </w:r>
    </w:p>
    <w:p w14:paraId="5ACAFED7" w14:textId="77777777" w:rsidR="00EF4029" w:rsidRDefault="00EF4029">
      <w:pPr>
        <w:pStyle w:val="NormalWeb"/>
        <w:rPr>
          <w:rFonts w:ascii="Calibri" w:hAnsi="Calibri" w:cs="Calibri"/>
          <w:color w:val="1F2933"/>
          <w:sz w:val="21"/>
          <w:szCs w:val="21"/>
        </w:rPr>
      </w:pPr>
      <w:r>
        <w:rPr>
          <w:rFonts w:ascii="Calibri" w:hAnsi="Calibri" w:cs="Calibri"/>
          <w:b/>
          <w:bCs/>
          <w:color w:val="1F2933"/>
          <w:sz w:val="21"/>
          <w:szCs w:val="21"/>
        </w:rPr>
        <w:t>Qué la refutaría.</w:t>
      </w:r>
      <w:r>
        <w:rPr>
          <w:rFonts w:ascii="Calibri" w:hAnsi="Calibri" w:cs="Calibri"/>
          <w:color w:val="1F2933"/>
          <w:sz w:val="21"/>
          <w:szCs w:val="21"/>
        </w:rPr>
        <w:t xml:space="preserve"> Que la mejora de los de dentro se deba a un cambio en la forma de hacer la encuesta, que adelantó sus entrevistas justo en esos años. No se ha podido descartar.</w:t>
      </w:r>
    </w:p>
    <w:p w14:paraId="389F62F6" w14:textId="77777777" w:rsidR="00EF4029" w:rsidRDefault="00EF4029">
      <w:pPr>
        <w:pStyle w:val="Ttulo3"/>
        <w:rPr>
          <w:rFonts w:ascii="Calibri" w:eastAsia="Times New Roman" w:hAnsi="Calibri" w:cs="Calibri"/>
        </w:rPr>
      </w:pPr>
      <w:r>
        <w:rPr>
          <w:rFonts w:ascii="Calibri" w:eastAsia="Times New Roman" w:hAnsi="Calibri" w:cs="Calibri"/>
        </w:rPr>
        <w:t>2. La vivienda es para vivir: restringir su uso turístico es la medida mejor respaldada (+10; +8)</w:t>
      </w:r>
    </w:p>
    <w:p w14:paraId="55A43D93" w14:textId="77777777" w:rsidR="00EF4029" w:rsidRDefault="00EF4029">
      <w:pPr>
        <w:pStyle w:val="NormalWeb"/>
        <w:rPr>
          <w:rFonts w:ascii="Calibri" w:hAnsi="Calibri" w:cs="Calibri"/>
          <w:color w:val="1F2933"/>
          <w:sz w:val="21"/>
          <w:szCs w:val="21"/>
        </w:rPr>
      </w:pPr>
      <w:r>
        <w:rPr>
          <w:rFonts w:ascii="Calibri" w:hAnsi="Calibri" w:cs="Calibri"/>
          <w:b/>
          <w:bCs/>
          <w:color w:val="1F2933"/>
          <w:sz w:val="21"/>
          <w:szCs w:val="21"/>
        </w:rPr>
        <w:t>Por qué.</w:t>
      </w:r>
      <w:r>
        <w:rPr>
          <w:rFonts w:ascii="Calibri" w:hAnsi="Calibri" w:cs="Calibri"/>
          <w:color w:val="1F2933"/>
          <w:sz w:val="21"/>
          <w:szCs w:val="21"/>
        </w:rPr>
        <w:t xml:space="preserve"> Es la medida aislada con mejor saldo cuando se exige evidencia firme, y liberalizarlo es la peor de todas (−10). No empeora ningún resultado social.</w:t>
      </w:r>
    </w:p>
    <w:p w14:paraId="18DB11D0" w14:textId="77777777" w:rsidR="00EF4029" w:rsidRDefault="00EF4029">
      <w:pPr>
        <w:pStyle w:val="NormalWeb"/>
        <w:rPr>
          <w:rFonts w:ascii="Calibri" w:hAnsi="Calibri" w:cs="Calibri"/>
          <w:color w:val="1F2933"/>
          <w:sz w:val="21"/>
          <w:szCs w:val="21"/>
        </w:rPr>
      </w:pPr>
      <w:r>
        <w:rPr>
          <w:rFonts w:ascii="Calibri" w:hAnsi="Calibri" w:cs="Calibri"/>
          <w:b/>
          <w:bCs/>
          <w:color w:val="1F2933"/>
          <w:sz w:val="21"/>
          <w:szCs w:val="21"/>
        </w:rPr>
        <w:t>Qué la refutaría.</w:t>
      </w:r>
      <w:r>
        <w:rPr>
          <w:rFonts w:ascii="Calibri" w:hAnsi="Calibri" w:cs="Calibri"/>
          <w:color w:val="1F2933"/>
          <w:sz w:val="21"/>
          <w:szCs w:val="21"/>
        </w:rPr>
        <w:t xml:space="preserve"> Que las viviendas que dejan de ser turísticas no vuelvan al alquiler normal sino al alquiler por meses. Hay indicios de que parte lo hace. Y tiene un coste: menos plazas y alojamiento más caro para el turista.</w:t>
      </w:r>
    </w:p>
    <w:p w14:paraId="27471123" w14:textId="77777777" w:rsidR="00EF4029" w:rsidRDefault="00EF4029">
      <w:pPr>
        <w:pStyle w:val="Ttulo3"/>
        <w:rPr>
          <w:rFonts w:ascii="Calibri" w:eastAsia="Times New Roman" w:hAnsi="Calibri" w:cs="Calibri"/>
        </w:rPr>
      </w:pPr>
      <w:r>
        <w:rPr>
          <w:rFonts w:ascii="Calibri" w:eastAsia="Times New Roman" w:hAnsi="Calibri" w:cs="Calibri"/>
        </w:rPr>
        <w:t>3. Premiar al que alquila para vivir funciona mejor que castigar al que no lo hace (+5; +3)</w:t>
      </w:r>
    </w:p>
    <w:p w14:paraId="6C692482" w14:textId="77777777" w:rsidR="00EF4029" w:rsidRDefault="00EF4029">
      <w:pPr>
        <w:pStyle w:val="NormalWeb"/>
        <w:rPr>
          <w:rFonts w:ascii="Calibri" w:hAnsi="Calibri" w:cs="Calibri"/>
          <w:color w:val="1F2933"/>
          <w:sz w:val="21"/>
          <w:szCs w:val="21"/>
        </w:rPr>
      </w:pPr>
      <w:r>
        <w:rPr>
          <w:rFonts w:ascii="Calibri" w:hAnsi="Calibri" w:cs="Calibri"/>
          <w:b/>
          <w:bCs/>
          <w:color w:val="1F2933"/>
          <w:sz w:val="21"/>
          <w:szCs w:val="21"/>
        </w:rPr>
        <w:t>Por qué.</w:t>
      </w:r>
      <w:r>
        <w:rPr>
          <w:rFonts w:ascii="Calibri" w:hAnsi="Calibri" w:cs="Calibri"/>
          <w:color w:val="1F2933"/>
          <w:sz w:val="21"/>
          <w:szCs w:val="21"/>
        </w:rPr>
        <w:t xml:space="preserve"> La rebaja fiscal al propietario que alquila como vivienda habitual está evaluada por la autoridad fiscal independiente: consigue más oferta. Es una de las piezas de los paquetes que empatan en cabeza. El recargo a la vivienda vacía, en cambio, no muestra efecto con la evidencia disponible.</w:t>
      </w:r>
    </w:p>
    <w:p w14:paraId="18AA834B" w14:textId="77777777" w:rsidR="00EF4029" w:rsidRDefault="00EF4029">
      <w:pPr>
        <w:pStyle w:val="NormalWeb"/>
        <w:rPr>
          <w:rFonts w:ascii="Calibri" w:hAnsi="Calibri" w:cs="Calibri"/>
          <w:color w:val="1F2933"/>
          <w:sz w:val="21"/>
          <w:szCs w:val="21"/>
        </w:rPr>
      </w:pPr>
      <w:r>
        <w:rPr>
          <w:rFonts w:ascii="Calibri" w:hAnsi="Calibri" w:cs="Calibri"/>
          <w:b/>
          <w:bCs/>
          <w:color w:val="1F2933"/>
          <w:sz w:val="21"/>
          <w:szCs w:val="21"/>
        </w:rPr>
        <w:t>Qué la refutaría.</w:t>
      </w:r>
      <w:r>
        <w:rPr>
          <w:rFonts w:ascii="Calibri" w:hAnsi="Calibri" w:cs="Calibri"/>
          <w:color w:val="1F2933"/>
          <w:sz w:val="21"/>
          <w:szCs w:val="21"/>
        </w:rPr>
        <w:t xml:space="preserve"> La misma evaluación dice que beneficia más a quien más tiene. Habría que rediseñarla para que no sea un regalo.</w:t>
      </w:r>
    </w:p>
    <w:p w14:paraId="607B95A8" w14:textId="77777777" w:rsidR="00EF4029" w:rsidRDefault="00EF4029">
      <w:pPr>
        <w:pStyle w:val="Ttulo3"/>
        <w:rPr>
          <w:rFonts w:ascii="Calibri" w:eastAsia="Times New Roman" w:hAnsi="Calibri" w:cs="Calibri"/>
        </w:rPr>
      </w:pPr>
      <w:r>
        <w:rPr>
          <w:rFonts w:ascii="Calibri" w:eastAsia="Times New Roman" w:hAnsi="Calibri" w:cs="Calibri"/>
        </w:rPr>
        <w:t>4. A los inversores hay que distinguirlos: bien si construyen alquiler, mal si compran lo que ya existe para encarecerlo o cambiarle el uso (+9; 0)</w:t>
      </w:r>
    </w:p>
    <w:p w14:paraId="00293DD4" w14:textId="77777777" w:rsidR="00EF4029" w:rsidRDefault="00EF4029">
      <w:pPr>
        <w:pStyle w:val="NormalWeb"/>
        <w:rPr>
          <w:rFonts w:ascii="Calibri" w:hAnsi="Calibri" w:cs="Calibri"/>
          <w:color w:val="1F2933"/>
          <w:sz w:val="21"/>
          <w:szCs w:val="21"/>
        </w:rPr>
      </w:pPr>
      <w:r>
        <w:rPr>
          <w:rFonts w:ascii="Calibri" w:hAnsi="Calibri" w:cs="Calibri"/>
          <w:b/>
          <w:bCs/>
          <w:color w:val="1F2933"/>
          <w:sz w:val="21"/>
          <w:szCs w:val="21"/>
        </w:rPr>
        <w:t>Por qué.</w:t>
      </w:r>
      <w:r>
        <w:rPr>
          <w:rFonts w:ascii="Calibri" w:hAnsi="Calibri" w:cs="Calibri"/>
          <w:color w:val="1F2933"/>
          <w:sz w:val="21"/>
          <w:szCs w:val="21"/>
        </w:rPr>
        <w:t xml:space="preserve"> Limitar la compra de vivienda ya construida por inversores mejora nueve resultados sociales y no empeora ninguno. Los estudios de caso españoles muestran subidas fuertes de renta tras la compra. En cambio, el capital que construye alquiler nuevo añade oferta.</w:t>
      </w:r>
    </w:p>
    <w:p w14:paraId="4935A1CA" w14:textId="77777777" w:rsidR="00EF4029" w:rsidRDefault="00EF4029">
      <w:pPr>
        <w:pStyle w:val="NormalWeb"/>
        <w:rPr>
          <w:rFonts w:ascii="Calibri" w:hAnsi="Calibri" w:cs="Calibri"/>
          <w:color w:val="1F2933"/>
          <w:sz w:val="21"/>
          <w:szCs w:val="21"/>
        </w:rPr>
      </w:pPr>
      <w:r>
        <w:rPr>
          <w:rFonts w:ascii="Calibri" w:hAnsi="Calibri" w:cs="Calibri"/>
          <w:b/>
          <w:bCs/>
          <w:color w:val="1F2933"/>
          <w:sz w:val="21"/>
          <w:szCs w:val="21"/>
        </w:rPr>
        <w:t>Qué la refutaría.</w:t>
      </w:r>
      <w:r>
        <w:rPr>
          <w:rFonts w:ascii="Calibri" w:hAnsi="Calibri" w:cs="Calibri"/>
          <w:color w:val="1F2933"/>
          <w:sz w:val="21"/>
          <w:szCs w:val="21"/>
        </w:rPr>
        <w:t xml:space="preserve"> Toda esa evidencia es de confianza baja: con la más firme, el saldo es cero. Y la herramienta fiscal no distingue: retirar las ventajas a las sociedades de inversión da +7 con toda la evidencia y −3 con la firme, porque el mismo régimen ampara a quien compra y a quien construye. Habría que rediseñarlo para separar los dos usos.</w:t>
      </w:r>
    </w:p>
    <w:p w14:paraId="298CAFEE" w14:textId="77777777" w:rsidR="00EF4029" w:rsidRDefault="00EF4029">
      <w:pPr>
        <w:pStyle w:val="Ttulo3"/>
        <w:rPr>
          <w:rFonts w:ascii="Calibri" w:eastAsia="Times New Roman" w:hAnsi="Calibri" w:cs="Calibri"/>
        </w:rPr>
      </w:pPr>
      <w:r>
        <w:rPr>
          <w:rFonts w:ascii="Calibri" w:eastAsia="Times New Roman" w:hAnsi="Calibri" w:cs="Calibri"/>
        </w:rPr>
        <w:t>5. El tope y la protección del inquilino solo tienen sentido acompañados (+5; +1 y −2; −3)</w:t>
      </w:r>
    </w:p>
    <w:p w14:paraId="154614C1" w14:textId="77777777" w:rsidR="00EF4029" w:rsidRDefault="00EF4029">
      <w:pPr>
        <w:pStyle w:val="NormalWeb"/>
        <w:rPr>
          <w:rFonts w:ascii="Calibri" w:hAnsi="Calibri" w:cs="Calibri"/>
          <w:color w:val="1F2933"/>
          <w:sz w:val="21"/>
          <w:szCs w:val="21"/>
        </w:rPr>
      </w:pPr>
      <w:r>
        <w:rPr>
          <w:rFonts w:ascii="Calibri" w:hAnsi="Calibri" w:cs="Calibri"/>
          <w:b/>
          <w:bCs/>
          <w:color w:val="1F2933"/>
          <w:sz w:val="21"/>
          <w:szCs w:val="21"/>
        </w:rPr>
        <w:t>Por qué.</w:t>
      </w:r>
      <w:r>
        <w:rPr>
          <w:rFonts w:ascii="Calibri" w:hAnsi="Calibri" w:cs="Calibri"/>
          <w:color w:val="1F2933"/>
          <w:sz w:val="21"/>
          <w:szCs w:val="21"/>
        </w:rPr>
        <w:t xml:space="preserve"> Solos, trasladan el daño de quien está dentro a quien quiere entrar. El paquete completo de regulación (tope, protección, límites a inversores y al turismo) da un saldo de +8, peor que restringir solo el uso turístico (+10).</w:t>
      </w:r>
    </w:p>
    <w:p w14:paraId="3C96FB0B" w14:textId="77777777" w:rsidR="00EF4029" w:rsidRDefault="00EF4029">
      <w:pPr>
        <w:pStyle w:val="NormalWeb"/>
        <w:rPr>
          <w:rFonts w:ascii="Calibri" w:hAnsi="Calibri" w:cs="Calibri"/>
          <w:color w:val="1F2933"/>
          <w:sz w:val="21"/>
          <w:szCs w:val="21"/>
        </w:rPr>
      </w:pPr>
      <w:r>
        <w:rPr>
          <w:rFonts w:ascii="Calibri" w:hAnsi="Calibri" w:cs="Calibri"/>
          <w:b/>
          <w:bCs/>
          <w:color w:val="1F2933"/>
          <w:sz w:val="21"/>
          <w:szCs w:val="21"/>
        </w:rPr>
        <w:t>Qué la refutaría.</w:t>
      </w:r>
      <w:r>
        <w:rPr>
          <w:rFonts w:ascii="Calibri" w:hAnsi="Calibri" w:cs="Calibri"/>
          <w:color w:val="1F2933"/>
          <w:sz w:val="21"/>
          <w:szCs w:val="21"/>
        </w:rPr>
        <w:t xml:space="preserve"> Que el tope no reduzca la oferta. Es la relación más disputada de todo el trabajo: dos estudios serios sobre Cataluña dicen cosas opuestas, y los datos oficiales de 2026 muestran más contratos vigentes mientras los portales muestran menos anuncios.</w:t>
      </w:r>
    </w:p>
    <w:p w14:paraId="0729A10D" w14:textId="77777777" w:rsidR="00EF4029" w:rsidRDefault="00EF4029">
      <w:pPr>
        <w:pStyle w:val="Ttulo3"/>
        <w:rPr>
          <w:rFonts w:ascii="Calibri" w:eastAsia="Times New Roman" w:hAnsi="Calibri" w:cs="Calibri"/>
        </w:rPr>
      </w:pPr>
      <w:r>
        <w:rPr>
          <w:rFonts w:ascii="Calibri" w:eastAsia="Times New Roman" w:hAnsi="Calibri" w:cs="Calibri"/>
        </w:rPr>
        <w:t>6. Vivienda pública sí, empezando por la que ya está construida (+2; 0)</w:t>
      </w:r>
    </w:p>
    <w:p w14:paraId="63143135" w14:textId="77777777" w:rsidR="00EF4029" w:rsidRDefault="00EF4029">
      <w:pPr>
        <w:pStyle w:val="NormalWeb"/>
        <w:rPr>
          <w:rFonts w:ascii="Calibri" w:hAnsi="Calibri" w:cs="Calibri"/>
          <w:color w:val="1F2933"/>
          <w:sz w:val="21"/>
          <w:szCs w:val="21"/>
        </w:rPr>
      </w:pPr>
      <w:r>
        <w:rPr>
          <w:rFonts w:ascii="Calibri" w:hAnsi="Calibri" w:cs="Calibri"/>
          <w:b/>
          <w:bCs/>
          <w:color w:val="1F2933"/>
          <w:sz w:val="21"/>
          <w:szCs w:val="21"/>
        </w:rPr>
        <w:t>Por qué.</w:t>
      </w:r>
      <w:r>
        <w:rPr>
          <w:rFonts w:ascii="Calibri" w:hAnsi="Calibri" w:cs="Calibri"/>
          <w:color w:val="1F2933"/>
          <w:sz w:val="21"/>
          <w:szCs w:val="21"/>
        </w:rPr>
        <w:t xml:space="preserve"> Funciona para quien la recibe, y comprar o movilizar vivienda existente es más rápido y barato que construir. La compra pública de viviendas y edificios entra en el paquete ganador.</w:t>
      </w:r>
    </w:p>
    <w:p w14:paraId="18B0B505" w14:textId="77777777" w:rsidR="00EF4029" w:rsidRDefault="00EF4029">
      <w:pPr>
        <w:pStyle w:val="NormalWeb"/>
        <w:rPr>
          <w:rFonts w:ascii="Calibri" w:hAnsi="Calibri" w:cs="Calibri"/>
          <w:color w:val="1F2933"/>
          <w:sz w:val="21"/>
          <w:szCs w:val="21"/>
        </w:rPr>
      </w:pPr>
      <w:r>
        <w:rPr>
          <w:rFonts w:ascii="Calibri" w:hAnsi="Calibri" w:cs="Calibri"/>
          <w:b/>
          <w:bCs/>
          <w:color w:val="1F2933"/>
          <w:sz w:val="21"/>
          <w:szCs w:val="21"/>
        </w:rPr>
        <w:t>Qué la refutaría.</w:t>
      </w:r>
      <w:r>
        <w:rPr>
          <w:rFonts w:ascii="Calibri" w:hAnsi="Calibri" w:cs="Calibri"/>
          <w:color w:val="1F2933"/>
          <w:sz w:val="21"/>
          <w:szCs w:val="21"/>
        </w:rPr>
        <w:t xml:space="preserve"> Su saldo es modesto porque el beneficio para el conjunto no está medido en España. Sin esa medición, la defensa de un gran parque público descansa en la comparación con Europa, no en una prueba.</w:t>
      </w:r>
    </w:p>
    <w:p w14:paraId="4E1D3078" w14:textId="77777777" w:rsidR="00EF4029" w:rsidRDefault="00EF4029">
      <w:pPr>
        <w:pStyle w:val="Ttulo3"/>
        <w:rPr>
          <w:rFonts w:ascii="Calibri" w:eastAsia="Times New Roman" w:hAnsi="Calibri" w:cs="Calibri"/>
        </w:rPr>
      </w:pPr>
      <w:r>
        <w:rPr>
          <w:rFonts w:ascii="Calibri" w:eastAsia="Times New Roman" w:hAnsi="Calibri" w:cs="Calibri"/>
        </w:rPr>
        <w:t>7. La inmigración no es la causa a combatir: es parte del problema, de sus víctimas y de su solución</w:t>
      </w:r>
    </w:p>
    <w:p w14:paraId="50D95983" w14:textId="77777777" w:rsidR="00EF4029" w:rsidRDefault="00EF4029">
      <w:pPr>
        <w:pStyle w:val="NormalWeb"/>
        <w:rPr>
          <w:rFonts w:ascii="Calibri" w:hAnsi="Calibri" w:cs="Calibri"/>
          <w:color w:val="1F2933"/>
          <w:sz w:val="21"/>
          <w:szCs w:val="21"/>
        </w:rPr>
      </w:pPr>
      <w:r>
        <w:rPr>
          <w:rFonts w:ascii="Calibri" w:hAnsi="Calibri" w:cs="Calibri"/>
          <w:b/>
          <w:bCs/>
          <w:color w:val="1F2933"/>
          <w:sz w:val="21"/>
          <w:szCs w:val="21"/>
        </w:rPr>
        <w:t>Por qué.</w:t>
      </w:r>
      <w:r>
        <w:rPr>
          <w:rFonts w:ascii="Calibri" w:hAnsi="Calibri" w:cs="Calibri"/>
          <w:color w:val="1F2933"/>
          <w:sz w:val="21"/>
          <w:szCs w:val="21"/>
        </w:rPr>
        <w:t xml:space="preserve"> </w:t>
      </w:r>
      <w:r>
        <w:rPr>
          <w:rFonts w:ascii="Calibri" w:hAnsi="Calibri" w:cs="Calibri"/>
          <w:color w:val="1F2933"/>
          <w:sz w:val="21"/>
          <w:szCs w:val="21"/>
        </w:rPr>
        <w:t>Añade demanda de alquiler, soporta la peor parte y aporta la mano de obra que falta para construir. El propio precio del alquiler ya frena las llegadas: por cada 1 % que sube, bajan un 0,4 %.</w:t>
      </w:r>
    </w:p>
    <w:p w14:paraId="3D4BE256" w14:textId="77777777" w:rsidR="00EF4029" w:rsidRDefault="00EF4029">
      <w:pPr>
        <w:pStyle w:val="NormalWeb"/>
        <w:rPr>
          <w:rFonts w:ascii="Calibri" w:hAnsi="Calibri" w:cs="Calibri"/>
          <w:color w:val="1F2933"/>
          <w:sz w:val="21"/>
          <w:szCs w:val="21"/>
        </w:rPr>
      </w:pPr>
      <w:r>
        <w:rPr>
          <w:rFonts w:ascii="Calibri" w:hAnsi="Calibri" w:cs="Calibri"/>
          <w:b/>
          <w:bCs/>
          <w:color w:val="1F2933"/>
          <w:sz w:val="21"/>
          <w:szCs w:val="21"/>
        </w:rPr>
        <w:t>Qué la refutaría.</w:t>
      </w:r>
      <w:r>
        <w:rPr>
          <w:rFonts w:ascii="Calibri" w:hAnsi="Calibri" w:cs="Calibri"/>
          <w:color w:val="1F2933"/>
          <w:sz w:val="21"/>
          <w:szCs w:val="21"/>
        </w:rPr>
        <w:t xml:space="preserve"> </w:t>
      </w:r>
      <w:r>
        <w:rPr>
          <w:rFonts w:ascii="Calibri" w:hAnsi="Calibri" w:cs="Calibri"/>
          <w:color w:val="1F2933"/>
          <w:sz w:val="21"/>
          <w:szCs w:val="21"/>
        </w:rPr>
        <w:t>No hay una medición reciente de cuánto encarece el alquiler; las que existen son de antes de 2019.</w:t>
      </w:r>
    </w:p>
    <w:p w14:paraId="2336DEBA" w14:textId="77777777" w:rsidR="00EF4029" w:rsidRDefault="00EF4029">
      <w:pPr>
        <w:pStyle w:val="Ttulo2"/>
        <w:rPr>
          <w:rFonts w:ascii="Calibri" w:eastAsia="Times New Roman" w:hAnsi="Calibri" w:cs="Calibri"/>
        </w:rPr>
      </w:pPr>
      <w:r>
        <w:rPr>
          <w:rFonts w:ascii="Calibri" w:eastAsia="Times New Roman" w:hAnsi="Calibri" w:cs="Calibri"/>
        </w:rPr>
        <w:t>6. El paquete que sale del cálculo</w:t>
      </w:r>
    </w:p>
    <w:p w14:paraId="0B0B451D" w14:textId="77777777" w:rsidR="00EF4029" w:rsidRDefault="00EF4029">
      <w:pPr>
        <w:pStyle w:val="NormalWeb"/>
        <w:rPr>
          <w:rFonts w:ascii="Calibri" w:hAnsi="Calibri" w:cs="Calibri"/>
          <w:color w:val="1F2933"/>
          <w:sz w:val="21"/>
          <w:szCs w:val="21"/>
        </w:rPr>
      </w:pPr>
      <w:r>
        <w:rPr>
          <w:rFonts w:ascii="Calibri" w:hAnsi="Calibri" w:cs="Calibri"/>
          <w:color w:val="1F2933"/>
          <w:sz w:val="21"/>
          <w:szCs w:val="21"/>
        </w:rPr>
        <w:t>Entre todas las combinaciones, las de menor coste social comparten una pieza y varían en las otras dos: restringir el uso turístico de la vivienda, más dos piezas que empatan entre varias: compra pública o inversión en vivienda protegida, rebaja fiscal o garantía de cobro al pequeño propietario, y estabilidad de las reglas del alquiler. Mejoran trece de los quince resultados sociales y no empeoran ninguno. Sus costes recaen fuera del objetivo: turistas, construcción nueva y rentabilidad del propietario.</w:t>
      </w:r>
    </w:p>
    <w:tbl>
      <w:tblPr>
        <w:tblW w:w="5000" w:type="pct"/>
        <w:tblCellMar>
          <w:top w:w="15" w:type="dxa"/>
          <w:left w:w="15" w:type="dxa"/>
          <w:bottom w:w="15" w:type="dxa"/>
          <w:right w:w="15" w:type="dxa"/>
        </w:tblCellMar>
        <w:tblLook w:val="04A0" w:firstRow="1" w:lastRow="0" w:firstColumn="1" w:lastColumn="0" w:noHBand="0" w:noVBand="1"/>
      </w:tblPr>
      <w:tblGrid>
        <w:gridCol w:w="2008"/>
        <w:gridCol w:w="4876"/>
        <w:gridCol w:w="1004"/>
        <w:gridCol w:w="1004"/>
        <w:gridCol w:w="1147"/>
        <w:gridCol w:w="861"/>
        <w:gridCol w:w="1291"/>
        <w:gridCol w:w="2151"/>
      </w:tblGrid>
      <w:tr w:rsidR="00000000" w14:paraId="013F025B" w14:textId="77777777" w:rsidTr="00EF4029">
        <w:tc>
          <w:tcPr>
            <w:tcW w:w="7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4A671E36" w14:textId="77777777" w:rsidR="00EF4029" w:rsidRDefault="00EF4029">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Familia de medidas</w:t>
            </w:r>
          </w:p>
        </w:tc>
        <w:tc>
          <w:tcPr>
            <w:tcW w:w="17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0FECBB1" w14:textId="77777777" w:rsidR="00EF4029" w:rsidRDefault="00EF4029">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Mejor paquete de la familia</w:t>
            </w:r>
          </w:p>
        </w:tc>
        <w:tc>
          <w:tcPr>
            <w:tcW w:w="3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9D9297A" w14:textId="77777777" w:rsidR="00EF4029" w:rsidRDefault="00EF4029">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Mejoran</w:t>
            </w:r>
          </w:p>
        </w:tc>
        <w:tc>
          <w:tcPr>
            <w:tcW w:w="3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1B1927FB" w14:textId="77777777" w:rsidR="00EF4029" w:rsidRDefault="00EF4029">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Empeoran</w:t>
            </w:r>
          </w:p>
        </w:tc>
        <w:tc>
          <w:tcPr>
            <w:tcW w:w="4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2F1F88FF" w14:textId="77777777" w:rsidR="00EF4029" w:rsidRDefault="00EF4029">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Señales contrarias</w:t>
            </w:r>
          </w:p>
        </w:tc>
        <w:tc>
          <w:tcPr>
            <w:tcW w:w="30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67D77D0B" w14:textId="77777777" w:rsidR="00EF4029" w:rsidRDefault="00EF4029">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Saldo</w:t>
            </w:r>
          </w:p>
        </w:tc>
        <w:tc>
          <w:tcPr>
            <w:tcW w:w="4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50E50A1A" w14:textId="77777777" w:rsidR="00EF4029" w:rsidRDefault="00EF4029">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Saldo con evidencia media o alta</w:t>
            </w:r>
          </w:p>
        </w:tc>
        <w:tc>
          <w:tcPr>
            <w:tcW w:w="750" w:type="pct"/>
            <w:tcBorders>
              <w:top w:val="single" w:sz="6" w:space="0" w:color="12355B"/>
              <w:left w:val="single" w:sz="6" w:space="0" w:color="12355B"/>
              <w:bottom w:val="single" w:sz="6" w:space="0" w:color="12355B"/>
              <w:right w:val="single" w:sz="6" w:space="0" w:color="12355B"/>
            </w:tcBorders>
            <w:shd w:val="clear" w:color="auto" w:fill="12355B"/>
            <w:tcMar>
              <w:top w:w="60" w:type="dxa"/>
              <w:left w:w="100" w:type="dxa"/>
              <w:bottom w:w="60" w:type="dxa"/>
              <w:right w:w="100" w:type="dxa"/>
            </w:tcMar>
            <w:vAlign w:val="center"/>
            <w:hideMark/>
          </w:tcPr>
          <w:p w14:paraId="7DC171FD" w14:textId="77777777" w:rsidR="00EF4029" w:rsidRDefault="00EF4029">
            <w:pPr>
              <w:spacing w:before="60" w:after="180"/>
              <w:rPr>
                <w:rFonts w:ascii="Calibri" w:eastAsia="Times New Roman" w:hAnsi="Calibri" w:cs="Calibri"/>
                <w:b/>
                <w:bCs/>
                <w:color w:val="FFFFFF"/>
                <w:sz w:val="18"/>
                <w:szCs w:val="18"/>
              </w:rPr>
            </w:pPr>
            <w:r>
              <w:rPr>
                <w:rFonts w:ascii="Calibri" w:eastAsia="Times New Roman" w:hAnsi="Calibri" w:cs="Calibri"/>
                <w:b/>
                <w:bCs/>
                <w:color w:val="FFFFFF"/>
                <w:sz w:val="18"/>
                <w:szCs w:val="18"/>
              </w:rPr>
              <w:t>Qué resultados sociales empeoran</w:t>
            </w:r>
          </w:p>
        </w:tc>
      </w:tr>
      <w:tr w:rsidR="00000000" w14:paraId="23506DE1" w14:textId="77777777" w:rsidTr="00EF4029">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94A11E1" w14:textId="77777777" w:rsidR="00EF4029" w:rsidRDefault="00EF4029">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Cualquiera (se pueden mezclar)</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99CE71D" w14:textId="77777777" w:rsidR="00EF4029" w:rsidRDefault="00EF4029">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restringir las viviendas de uso turístico; pactar un periodo largo sin cambios en las reglas del alquiler; ampliar la compra preferente de viviendas y edificios por la Administración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35B2AEF" w14:textId="77777777" w:rsidR="00EF4029" w:rsidRDefault="00EF4029">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B8B0624" w14:textId="77777777" w:rsidR="00EF4029" w:rsidRDefault="00EF4029">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6F775B88" w14:textId="77777777" w:rsidR="00EF4029" w:rsidRDefault="00EF4029">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FF630C" w14:textId="77777777" w:rsidR="00EF4029" w:rsidRDefault="00EF4029">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08799E6" w14:textId="77777777" w:rsidR="00EF4029" w:rsidRDefault="00EF4029">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+8</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D2804E4" w14:textId="77777777" w:rsidR="00EF4029" w:rsidRDefault="00EF4029">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ninguno</w:t>
            </w:r>
          </w:p>
        </w:tc>
      </w:tr>
      <w:tr w:rsidR="00000000" w14:paraId="3F88F1F6" w14:textId="77777777" w:rsidTr="00EF4029">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F941C6A" w14:textId="77777777" w:rsidR="00EF4029" w:rsidRDefault="00EF4029">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Solo intervención</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012F9E1" w14:textId="77777777" w:rsidR="00EF4029" w:rsidRDefault="00EF4029">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endurecer los criterios para conceder hipotecas; crear una garantía pública que pague o asegure la renta al pequeño propietario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0911BF" w14:textId="77777777" w:rsidR="00EF4029" w:rsidRDefault="00EF4029">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DFA7A2C" w14:textId="77777777" w:rsidR="00EF4029" w:rsidRDefault="00EF4029">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D2D9CC9" w14:textId="77777777" w:rsidR="00EF4029" w:rsidRDefault="00EF4029">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9E4C1B5" w14:textId="77777777" w:rsidR="00EF4029" w:rsidRDefault="00EF4029">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17E80BCE" w14:textId="77777777" w:rsidR="00EF4029" w:rsidRDefault="00EF4029">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+2</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C19A984" w14:textId="77777777" w:rsidR="00EF4029" w:rsidRDefault="00EF4029">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ninguno</w:t>
            </w:r>
          </w:p>
        </w:tc>
      </w:tr>
      <w:tr w:rsidR="00000000" w14:paraId="355821A2" w14:textId="77777777" w:rsidTr="00EF4029">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03B74F60" w14:textId="77777777" w:rsidR="00EF4029" w:rsidRDefault="00EF4029">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Solo mercado</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A6CC3A8" w14:textId="77777777" w:rsidR="00EF4029" w:rsidRDefault="00EF4029">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ampliar la rebaja fiscal al propietario que alquila como vivienda habitual; acortar los plazos de tramitación urbanística</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299ADD33" w14:textId="77777777" w:rsidR="00EF4029" w:rsidRDefault="00EF4029">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524A6D9" w14:textId="77777777" w:rsidR="00EF4029" w:rsidRDefault="00EF4029">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0</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A21AAF2" w14:textId="77777777" w:rsidR="00EF4029" w:rsidRDefault="00EF4029">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58A7F721" w14:textId="77777777" w:rsidR="00EF4029" w:rsidRDefault="00EF4029">
            <w:pPr>
              <w:spacing w:before="60" w:after="180"/>
              <w:rPr>
                <w:rFonts w:ascii="Calibri" w:eastAsia="Times New Roman" w:hAnsi="Calibri" w:cs="Calibri"/>
                <w:color w:val="1F2933"/>
                <w:sz w:val="18"/>
                <w:szCs w:val="18"/>
              </w:rPr>
            </w:pPr>
            <w:r>
              <w:rPr>
                <w:rFonts w:ascii="Calibri" w:eastAsia="Times New Roman" w:hAnsi="Calibri" w:cs="Calibri"/>
                <w:b/>
                <w:bCs/>
                <w:color w:val="1F2933"/>
                <w:sz w:val="18"/>
                <w:szCs w:val="18"/>
              </w:rPr>
              <w:t>+11</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3EC09870" w14:textId="77777777" w:rsidR="00EF4029" w:rsidRDefault="00EF4029">
            <w:pPr>
              <w:spacing w:before="60" w:after="180"/>
              <w:rPr>
                <w:rFonts w:ascii="Calibri" w:eastAsia="Times New Roman" w:hAnsi="Calibri" w:cs="Calibri"/>
                <w:color w:val="1F2933"/>
                <w:sz w:val="18"/>
                <w:szCs w:val="18"/>
              </w:rPr>
            </w:pPr>
            <w:r>
              <w:rPr>
                <w:rFonts w:ascii="Calibri" w:eastAsia="Times New Roman" w:hAnsi="Calibri" w:cs="Calibri"/>
                <w:color w:val="1F2933"/>
                <w:sz w:val="18"/>
                <w:szCs w:val="18"/>
              </w:rPr>
              <w:t>+3</w:t>
            </w:r>
          </w:p>
        </w:tc>
        <w:tc>
          <w:tcPr>
            <w:tcW w:w="0" w:type="auto"/>
            <w:tcBorders>
              <w:top w:val="single" w:sz="6" w:space="0" w:color="9FB3C8"/>
              <w:left w:val="single" w:sz="6" w:space="0" w:color="9FB3C8"/>
              <w:bottom w:val="single" w:sz="6" w:space="0" w:color="9FB3C8"/>
              <w:right w:val="single" w:sz="6" w:space="0" w:color="9FB3C8"/>
            </w:tcBorders>
            <w:tcMar>
              <w:top w:w="60" w:type="dxa"/>
              <w:left w:w="100" w:type="dxa"/>
              <w:bottom w:w="60" w:type="dxa"/>
              <w:right w:w="100" w:type="dxa"/>
            </w:tcMar>
            <w:hideMark/>
          </w:tcPr>
          <w:p w14:paraId="7DA4C64B" w14:textId="77777777" w:rsidR="00EF4029" w:rsidRDefault="00EF4029">
            <w:pPr>
              <w:spacing w:before="60" w:after="180"/>
              <w:rPr>
                <w:rFonts w:ascii="Calibri" w:eastAsia="Times New Roman" w:hAnsi="Calibri" w:cs="Calibri"/>
                <w:color w:val="1F2933"/>
                <w:sz w:val="18"/>
                <w:szCs w:val="18"/>
              </w:rPr>
            </w:pPr>
            <w:r>
              <w:rPr>
                <w:rFonts w:ascii="Calibri" w:eastAsia="Times New Roman" w:hAnsi="Calibri" w:cs="Calibri"/>
                <w:color w:val="9FB3C8"/>
                <w:sz w:val="18"/>
                <w:szCs w:val="18"/>
              </w:rPr>
              <w:t>ninguno</w:t>
            </w:r>
          </w:p>
        </w:tc>
      </w:tr>
    </w:tbl>
    <w:p w14:paraId="110F1D65" w14:textId="77777777" w:rsidR="00EF4029" w:rsidRDefault="00EF4029">
      <w:pPr>
        <w:pStyle w:val="NormalWeb"/>
        <w:rPr>
          <w:rFonts w:ascii="Calibri" w:hAnsi="Calibri" w:cs="Calibri"/>
          <w:color w:val="1F2933"/>
          <w:sz w:val="21"/>
          <w:szCs w:val="21"/>
        </w:rPr>
      </w:pPr>
      <w:r>
        <w:rPr>
          <w:rFonts w:ascii="Calibri" w:hAnsi="Calibri" w:cs="Calibri"/>
          <w:color w:val="1F2933"/>
          <w:sz w:val="21"/>
          <w:szCs w:val="21"/>
        </w:rPr>
        <w:t>Dos advertencias. Seis paquetes empatan en cabeza, y cuál aparece primero ha cambiado en cada versión del cálculo: lo único estable es limitar el uso turístico. Y ninguna receta pura gana: solo intervención y solo mercado quedan por debajo, y con la evidencia más firme, muy por debajo.</w:t>
      </w:r>
    </w:p>
    <w:p w14:paraId="0BE7617E" w14:textId="77777777" w:rsidR="00EF4029" w:rsidRDefault="00EF4029">
      <w:pPr>
        <w:pStyle w:val="Ttulo2"/>
        <w:rPr>
          <w:rFonts w:ascii="Calibri" w:eastAsia="Times New Roman" w:hAnsi="Calibri" w:cs="Calibri"/>
        </w:rPr>
      </w:pPr>
      <w:r>
        <w:rPr>
          <w:rFonts w:ascii="Calibri" w:eastAsia="Times New Roman" w:hAnsi="Calibri" w:cs="Calibri"/>
        </w:rPr>
        <w:t>7. Lo que no se sabe, y decidiría la discusión</w:t>
      </w:r>
    </w:p>
    <w:p w14:paraId="4693E249" w14:textId="77777777" w:rsidR="00EF4029" w:rsidRDefault="00EF4029">
      <w:pPr>
        <w:numPr>
          <w:ilvl w:val="0"/>
          <w:numId w:val="2"/>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color w:val="1F2933"/>
          <w:sz w:val="21"/>
          <w:szCs w:val="21"/>
        </w:rPr>
        <w:t>Qué era antes cada vivienda turística y adónde va cuando deja de serlo: haría falta cruzar las licencias con el padrón o con las fianzas de alquiler.</w:t>
      </w:r>
    </w:p>
    <w:p w14:paraId="325CD73F" w14:textId="77777777" w:rsidR="00EF4029" w:rsidRDefault="00EF4029">
      <w:pPr>
        <w:numPr>
          <w:ilvl w:val="0"/>
          <w:numId w:val="2"/>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color w:val="1F2933"/>
          <w:sz w:val="21"/>
          <w:szCs w:val="21"/>
        </w:rPr>
        <w:t>Cuánto encarecen el alquiler los fondos y sociedades de inversión en España.</w:t>
      </w:r>
    </w:p>
    <w:p w14:paraId="2EBA65BA" w14:textId="77777777" w:rsidR="00EF4029" w:rsidRDefault="00EF4029">
      <w:pPr>
        <w:numPr>
          <w:ilvl w:val="0"/>
          <w:numId w:val="2"/>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color w:val="1F2933"/>
          <w:sz w:val="21"/>
          <w:szCs w:val="21"/>
        </w:rPr>
        <w:t>Cuántos inquilinos pierden su casa por no renovación o por la venta del edificio: los juzgados solo cuentan los desahucios, y no por edad ni por tipo de hogar.</w:t>
      </w:r>
    </w:p>
    <w:p w14:paraId="3FDD623E" w14:textId="77777777" w:rsidR="00EF4029" w:rsidRDefault="00EF4029">
      <w:pPr>
        <w:numPr>
          <w:ilvl w:val="0"/>
          <w:numId w:val="2"/>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color w:val="1F2933"/>
          <w:sz w:val="21"/>
          <w:szCs w:val="21"/>
        </w:rPr>
        <w:t>Cuánto mejora el conjunto por cada vivienda pública añadida.</w:t>
      </w:r>
    </w:p>
    <w:p w14:paraId="2B0EBDEA" w14:textId="77777777" w:rsidR="00EF4029" w:rsidRDefault="00EF4029">
      <w:pPr>
        <w:numPr>
          <w:ilvl w:val="0"/>
          <w:numId w:val="2"/>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color w:val="1F2933"/>
          <w:sz w:val="21"/>
          <w:szCs w:val="21"/>
        </w:rPr>
        <w:t>Cuánta gente vive en habitaciones alquiladas: no hay ninguna cifra oficial.</w:t>
      </w:r>
    </w:p>
    <w:p w14:paraId="6F98883B" w14:textId="77777777" w:rsidR="00EF4029" w:rsidRDefault="00EF4029">
      <w:pPr>
        <w:numPr>
          <w:ilvl w:val="0"/>
          <w:numId w:val="2"/>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color w:val="1F2933"/>
          <w:sz w:val="21"/>
          <w:szCs w:val="21"/>
        </w:rPr>
        <w:t>Cuántas viviendas de los grandes propietarios están en alquiler: el Catastro sabe quién es el dueño y Hacienda qué está alquilado, pero nadie cruza los dos registros.</w:t>
      </w:r>
    </w:p>
    <w:p w14:paraId="49AF318D" w14:textId="77777777" w:rsidR="00EF4029" w:rsidRDefault="00EF4029">
      <w:pPr>
        <w:pStyle w:val="NormalWeb"/>
        <w:rPr>
          <w:rFonts w:ascii="Calibri" w:hAnsi="Calibri" w:cs="Calibri"/>
          <w:color w:val="1F2933"/>
          <w:sz w:val="21"/>
          <w:szCs w:val="21"/>
        </w:rPr>
      </w:pPr>
      <w:r>
        <w:rPr>
          <w:rFonts w:ascii="Calibri" w:hAnsi="Calibri" w:cs="Calibri"/>
          <w:color w:val="1F2933"/>
          <w:sz w:val="21"/>
          <w:szCs w:val="21"/>
        </w:rPr>
        <w:t>Que falten precisamente estos datos no es casual: son los que permitirían a cada bando comprobar su relato.</w:t>
      </w:r>
    </w:p>
    <w:p w14:paraId="610CBA46" w14:textId="77777777" w:rsidR="00EF4029" w:rsidRDefault="00EF4029">
      <w:pPr>
        <w:pStyle w:val="Ttulo2"/>
        <w:rPr>
          <w:rFonts w:ascii="Calibri" w:eastAsia="Times New Roman" w:hAnsi="Calibri" w:cs="Calibri"/>
        </w:rPr>
      </w:pPr>
      <w:r>
        <w:rPr>
          <w:rFonts w:ascii="Calibri" w:eastAsia="Times New Roman" w:hAnsi="Calibri" w:cs="Calibri"/>
        </w:rPr>
        <w:t>8. Límites de este trabajo</w:t>
      </w:r>
    </w:p>
    <w:p w14:paraId="4052F748" w14:textId="77777777" w:rsidR="00EF4029" w:rsidRDefault="00EF4029">
      <w:pPr>
        <w:numPr>
          <w:ilvl w:val="0"/>
          <w:numId w:val="3"/>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Dirección, no tamaño.</w:t>
      </w:r>
      <w:r>
        <w:rPr>
          <w:rFonts w:ascii="Calibri" w:eastAsia="Times New Roman" w:hAnsi="Calibri" w:cs="Calibri"/>
          <w:color w:val="1F2933"/>
          <w:sz w:val="21"/>
          <w:szCs w:val="21"/>
        </w:rPr>
        <w:t xml:space="preserve"> «Mejora» significa que las causas más directas empujan a favor. Puede ser mucho o casi nada.</w:t>
      </w:r>
    </w:p>
    <w:p w14:paraId="49E5558E" w14:textId="77777777" w:rsidR="00EF4029" w:rsidRDefault="00EF4029">
      <w:pPr>
        <w:numPr>
          <w:ilvl w:val="0"/>
          <w:numId w:val="3"/>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Depende de lo que se ha estudiado.</w:t>
      </w:r>
      <w:r>
        <w:rPr>
          <w:rFonts w:ascii="Calibri" w:eastAsia="Times New Roman" w:hAnsi="Calibri" w:cs="Calibri"/>
          <w:color w:val="1F2933"/>
          <w:sz w:val="21"/>
          <w:szCs w:val="21"/>
        </w:rPr>
        <w:t xml:space="preserve"> Lo que no tiene fuente no cuenta, y eso perjudica a las medidas cuyo beneficio parece evidente pero nadie ha medido. El resultado ha cambiado cada vez que se ha encontrado evidencia nueva.</w:t>
      </w:r>
    </w:p>
    <w:p w14:paraId="7E0FFE9A" w14:textId="77777777" w:rsidR="00EF4029" w:rsidRDefault="00EF4029">
      <w:pPr>
        <w:numPr>
          <w:ilvl w:val="0"/>
          <w:numId w:val="3"/>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Buena parte de la evidencia es de otros países</w:t>
      </w:r>
      <w:r>
        <w:rPr>
          <w:rFonts w:ascii="Calibri" w:eastAsia="Times New Roman" w:hAnsi="Calibri" w:cs="Calibri"/>
          <w:color w:val="1F2933"/>
          <w:sz w:val="21"/>
          <w:szCs w:val="21"/>
        </w:rPr>
        <w:t xml:space="preserve"> </w:t>
      </w:r>
      <w:r>
        <w:rPr>
          <w:rFonts w:ascii="Calibri" w:eastAsia="Times New Roman" w:hAnsi="Calibri" w:cs="Calibri"/>
          <w:color w:val="1F2933"/>
          <w:sz w:val="21"/>
          <w:szCs w:val="21"/>
        </w:rPr>
        <w:t>o de una sola ciudad, casi siempre Barcelona.</w:t>
      </w:r>
    </w:p>
    <w:p w14:paraId="46A747DD" w14:textId="77777777" w:rsidR="00EF4029" w:rsidRDefault="00EF4029">
      <w:pPr>
        <w:numPr>
          <w:ilvl w:val="0"/>
          <w:numId w:val="3"/>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El objetivo es una elección.</w:t>
      </w:r>
      <w:r>
        <w:rPr>
          <w:rFonts w:ascii="Calibri" w:eastAsia="Times New Roman" w:hAnsi="Calibri" w:cs="Calibri"/>
          <w:color w:val="1F2933"/>
          <w:sz w:val="21"/>
          <w:szCs w:val="21"/>
        </w:rPr>
        <w:t xml:space="preserve"> Aquí cuenta cómo viven las personas y no el beneficio de quien ofrece vivienda. Con otro objetivo, el orden de las medidas cambia.</w:t>
      </w:r>
    </w:p>
    <w:p w14:paraId="1A7CD51C" w14:textId="77777777" w:rsidR="00EF4029" w:rsidRDefault="00EF4029">
      <w:pPr>
        <w:numPr>
          <w:ilvl w:val="0"/>
          <w:numId w:val="3"/>
        </w:numPr>
        <w:spacing w:before="100" w:beforeAutospacing="1" w:after="100" w:afterAutospacing="1"/>
        <w:rPr>
          <w:rFonts w:ascii="Calibri" w:eastAsia="Times New Roman" w:hAnsi="Calibri" w:cs="Calibri"/>
          <w:color w:val="1F2933"/>
          <w:sz w:val="21"/>
          <w:szCs w:val="21"/>
        </w:rPr>
      </w:pPr>
      <w:r>
        <w:rPr>
          <w:rFonts w:ascii="Calibri" w:eastAsia="Times New Roman" w:hAnsi="Calibri" w:cs="Calibri"/>
          <w:b/>
          <w:bCs/>
          <w:color w:val="1F2933"/>
          <w:sz w:val="21"/>
          <w:szCs w:val="21"/>
        </w:rPr>
        <w:t>Las leyes se mueven.</w:t>
      </w:r>
      <w:r>
        <w:rPr>
          <w:rFonts w:ascii="Calibri" w:eastAsia="Times New Roman" w:hAnsi="Calibri" w:cs="Calibri"/>
          <w:color w:val="1F2933"/>
          <w:sz w:val="21"/>
          <w:szCs w:val="21"/>
        </w:rPr>
        <w:t xml:space="preserve"> Varias de las normas citadas están aprobadas por decreto y pendientes de confirmación parlamentaria.</w:t>
      </w:r>
    </w:p>
    <w:p w14:paraId="42085542" w14:textId="77777777" w:rsidR="00EF4029" w:rsidRDefault="00EF4029">
      <w:pPr>
        <w:pStyle w:val="pie"/>
        <w:spacing w:before="0" w:beforeAutospacing="0" w:after="120" w:afterAutospacing="0"/>
        <w:rPr>
          <w:rFonts w:ascii="Calibri" w:hAnsi="Calibri" w:cs="Calibri"/>
        </w:rPr>
      </w:pPr>
      <w:r>
        <w:rPr>
          <w:rFonts w:ascii="Calibri" w:hAnsi="Calibri" w:cs="Calibri"/>
        </w:rPr>
        <w:t>Los datos, sus fuentes y el estado de cada cifra están en el documento «Tabla de datos»; el cálculo completo, en «Coste social» e «Índice de sostenibilidad social»; el mapa y sus fuentes, en el expediente del caso.</w:t>
      </w:r>
    </w:p>
    <w:sectPr w:rsidR="00000000" w:rsidSect="00EF4029">
      <w:pgSz w:w="16838" w:h="11906" w:orient="landscape"/>
      <w:pgMar w:top="1240" w:right="1240" w:bottom="1240" w:left="12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E21339"/>
    <w:multiLevelType w:val="multilevel"/>
    <w:tmpl w:val="677A4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0D3373"/>
    <w:multiLevelType w:val="multilevel"/>
    <w:tmpl w:val="E2628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339259D"/>
    <w:multiLevelType w:val="multilevel"/>
    <w:tmpl w:val="55E00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65403794">
    <w:abstractNumId w:val="0"/>
  </w:num>
  <w:num w:numId="2" w16cid:durableId="1567641138">
    <w:abstractNumId w:val="2"/>
  </w:num>
  <w:num w:numId="3" w16cid:durableId="9842413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EF4029"/>
    <w:rsid w:val="00EF4029"/>
    <w:rsid w:val="00F776A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D7B6462"/>
  <w15:chartTrackingRefBased/>
  <w15:docId w15:val="{2C10025B-1090-4117-AE71-7E8EAC747E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Ttulo1">
    <w:name w:val="heading 1"/>
    <w:basedOn w:val="Normal"/>
    <w:link w:val="Ttulo1Car"/>
    <w:uiPriority w:val="9"/>
    <w:qFormat/>
    <w:pPr>
      <w:spacing w:before="360" w:after="120"/>
      <w:outlineLvl w:val="0"/>
    </w:pPr>
    <w:rPr>
      <w:b/>
      <w:bCs/>
      <w:color w:val="12355B"/>
      <w:kern w:val="36"/>
      <w:sz w:val="36"/>
      <w:szCs w:val="36"/>
    </w:rPr>
  </w:style>
  <w:style w:type="paragraph" w:styleId="Ttulo2">
    <w:name w:val="heading 2"/>
    <w:basedOn w:val="Normal"/>
    <w:link w:val="Ttulo2Car"/>
    <w:uiPriority w:val="9"/>
    <w:qFormat/>
    <w:pPr>
      <w:pBdr>
        <w:bottom w:val="single" w:sz="6" w:space="0" w:color="9FB3C8"/>
      </w:pBdr>
      <w:spacing w:before="280" w:after="80"/>
      <w:outlineLvl w:val="1"/>
    </w:pPr>
    <w:rPr>
      <w:b/>
      <w:bCs/>
      <w:color w:val="12355B"/>
      <w:sz w:val="26"/>
      <w:szCs w:val="26"/>
    </w:rPr>
  </w:style>
  <w:style w:type="paragraph" w:styleId="Ttulo3">
    <w:name w:val="heading 3"/>
    <w:basedOn w:val="Normal"/>
    <w:link w:val="Ttulo3Car"/>
    <w:uiPriority w:val="9"/>
    <w:qFormat/>
    <w:pPr>
      <w:spacing w:before="200" w:after="60"/>
      <w:outlineLvl w:val="2"/>
    </w:pPr>
    <w:rPr>
      <w:b/>
      <w:bCs/>
      <w:color w:val="1F5A8A"/>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20"/>
    </w:pPr>
  </w:style>
  <w:style w:type="paragraph" w:styleId="NormalWeb">
    <w:name w:val="Normal (Web)"/>
    <w:basedOn w:val="Normal"/>
    <w:uiPriority w:val="99"/>
    <w:semiHidden/>
    <w:unhideWhenUsed/>
    <w:pPr>
      <w:spacing w:after="120"/>
    </w:pPr>
  </w:style>
  <w:style w:type="paragraph" w:customStyle="1" w:styleId="caja">
    <w:name w:val="caja"/>
    <w:basedOn w:val="Normal"/>
    <w:pPr>
      <w:pBdr>
        <w:top w:val="single" w:sz="6" w:space="6" w:color="1F5A8A"/>
        <w:left w:val="single" w:sz="6" w:space="8" w:color="1F5A8A"/>
        <w:bottom w:val="single" w:sz="6" w:space="6" w:color="1F5A8A"/>
        <w:right w:val="single" w:sz="6" w:space="8" w:color="1F5A8A"/>
      </w:pBdr>
      <w:shd w:val="clear" w:color="auto" w:fill="EAF2F8"/>
      <w:spacing w:before="100" w:beforeAutospacing="1" w:after="180"/>
    </w:pPr>
  </w:style>
  <w:style w:type="paragraph" w:customStyle="1" w:styleId="aviso">
    <w:name w:val="aviso"/>
    <w:basedOn w:val="Normal"/>
    <w:pPr>
      <w:pBdr>
        <w:top w:val="single" w:sz="6" w:space="6" w:color="B7791F"/>
        <w:left w:val="single" w:sz="6" w:space="8" w:color="B7791F"/>
        <w:bottom w:val="single" w:sz="6" w:space="6" w:color="B7791F"/>
        <w:right w:val="single" w:sz="6" w:space="8" w:color="B7791F"/>
      </w:pBdr>
      <w:shd w:val="clear" w:color="auto" w:fill="FEF5E7"/>
      <w:spacing w:before="100" w:beforeAutospacing="1" w:after="180"/>
    </w:pPr>
  </w:style>
  <w:style w:type="paragraph" w:customStyle="1" w:styleId="noticia">
    <w:name w:val="noticia"/>
    <w:basedOn w:val="Normal"/>
    <w:pPr>
      <w:pBdr>
        <w:top w:val="single" w:sz="18" w:space="6" w:color="12355B"/>
      </w:pBdr>
      <w:spacing w:before="280" w:after="100" w:afterAutospacing="1"/>
    </w:pPr>
  </w:style>
  <w:style w:type="paragraph" w:customStyle="1" w:styleId="sello">
    <w:name w:val="sello"/>
    <w:basedOn w:val="Normal"/>
    <w:pPr>
      <w:spacing w:before="100" w:beforeAutospacing="1" w:after="100" w:afterAutospacing="1"/>
    </w:pPr>
    <w:rPr>
      <w:b/>
      <w:bCs/>
      <w:color w:val="B7791F"/>
      <w:spacing w:val="20"/>
      <w:sz w:val="17"/>
      <w:szCs w:val="17"/>
    </w:rPr>
  </w:style>
  <w:style w:type="paragraph" w:customStyle="1" w:styleId="titular">
    <w:name w:val="titular"/>
    <w:basedOn w:val="Normal"/>
    <w:pPr>
      <w:spacing w:before="100" w:beforeAutospacing="1" w:after="80"/>
    </w:pPr>
    <w:rPr>
      <w:rFonts w:ascii="Georgia" w:hAnsi="Georgia"/>
      <w:b/>
      <w:bCs/>
      <w:color w:val="102A43"/>
      <w:sz w:val="40"/>
      <w:szCs w:val="40"/>
    </w:rPr>
  </w:style>
  <w:style w:type="paragraph" w:customStyle="1" w:styleId="entradilla">
    <w:name w:val="entradilla"/>
    <w:basedOn w:val="Normal"/>
    <w:pPr>
      <w:spacing w:before="100" w:beforeAutospacing="1" w:after="160"/>
    </w:pPr>
    <w:rPr>
      <w:rFonts w:ascii="Georgia" w:hAnsi="Georgia"/>
      <w:color w:val="334E68"/>
    </w:rPr>
  </w:style>
  <w:style w:type="paragraph" w:customStyle="1" w:styleId="pie">
    <w:name w:val="pie"/>
    <w:basedOn w:val="Normal"/>
    <w:pPr>
      <w:spacing w:before="100" w:beforeAutospacing="1" w:after="100" w:afterAutospacing="1"/>
    </w:pPr>
    <w:rPr>
      <w:color w:val="52606D"/>
      <w:sz w:val="17"/>
      <w:szCs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43923943">
      <w:marLeft w:val="0"/>
      <w:marRight w:val="0"/>
      <w:marTop w:val="0"/>
      <w:marBottom w:val="180"/>
      <w:divBdr>
        <w:top w:val="single" w:sz="6" w:space="6" w:color="1F5A8A"/>
        <w:left w:val="single" w:sz="6" w:space="8" w:color="1F5A8A"/>
        <w:bottom w:val="single" w:sz="6" w:space="6" w:color="1F5A8A"/>
        <w:right w:val="single" w:sz="6" w:space="8" w:color="1F5A8A"/>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2801</Words>
  <Characters>15406</Characters>
  <Application>Microsoft Office Word</Application>
  <DocSecurity>4</DocSecurity>
  <Lines>128</Lines>
  <Paragraphs>36</Paragraphs>
  <ScaleCrop>false</ScaleCrop>
  <Company/>
  <LinksUpToDate>false</LinksUpToDate>
  <CharactersWithSpaces>18171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Vivienda en España: cómo bajar el dolor</dc:title>
  <dc:subject/>
  <dc:creator>Juan  Siria racero</dc:creator>
  <cp:keywords/>
  <dc:description/>
  <cp:lastModifiedBy>Juan  Siria racero</cp:lastModifiedBy>
  <cp:revision>2</cp:revision>
  <dcterms:created xsi:type="dcterms:W3CDTF">2026-10-12T10:34:00Z</dcterms:created>
  <dcterms:modified xsi:type="dcterms:W3CDTF">2026-10-12T10:34:00Z</dcterms:modified>
</cp:coreProperties>
</file>