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6DCF" w14:textId="77777777" w:rsidR="00C27269" w:rsidRDefault="00C27269">
      <w:pPr>
        <w:pStyle w:val="Ttulo1"/>
        <w:rPr>
          <w:rFonts w:ascii="Calibri" w:eastAsia="Times New Roman" w:hAnsi="Calibri" w:cs="Calibri"/>
        </w:rPr>
      </w:pPr>
      <w:r>
        <w:rPr>
          <w:rFonts w:ascii="Calibri" w:eastAsia="Times New Roman" w:hAnsi="Calibri" w:cs="Calibri"/>
        </w:rPr>
        <w:t>Vivienda en España: tres paquetes de medidas elegidos por cálculo</w:t>
      </w:r>
    </w:p>
    <w:p w14:paraId="19139770" w14:textId="77777777" w:rsidR="00C27269" w:rsidRDefault="00C27269">
      <w:pPr>
        <w:pStyle w:val="pie"/>
        <w:spacing w:before="0" w:beforeAutospacing="0" w:after="120" w:afterAutospacing="0"/>
        <w:rPr>
          <w:rFonts w:ascii="Calibri" w:hAnsi="Calibri" w:cs="Calibri"/>
        </w:rPr>
      </w:pPr>
      <w:r>
        <w:rPr>
          <w:rFonts w:ascii="Calibri" w:hAnsi="Calibri" w:cs="Calibri"/>
        </w:rPr>
        <w:t>Proyecto SOIH · Tercera versión del cálculo · 12 de octubre de 2026 · Sobre la séptima revisión del mapa causal (117 relaciones con fuente)</w:t>
      </w:r>
    </w:p>
    <w:p w14:paraId="1FA5531F" w14:textId="77777777" w:rsidR="00C27269" w:rsidRDefault="00C27269">
      <w:pPr>
        <w:shd w:val="clear" w:color="auto" w:fill="FEF5E7"/>
        <w:divId w:val="2012415758"/>
        <w:rPr>
          <w:rFonts w:ascii="Calibri" w:eastAsia="Times New Roman" w:hAnsi="Calibri" w:cs="Calibri"/>
          <w:color w:val="1F2933"/>
          <w:sz w:val="21"/>
          <w:szCs w:val="21"/>
        </w:rPr>
      </w:pPr>
      <w:r>
        <w:rPr>
          <w:rFonts w:ascii="Calibri" w:eastAsia="Times New Roman" w:hAnsi="Calibri" w:cs="Calibri"/>
          <w:b/>
          <w:bCs/>
          <w:color w:val="1F2933"/>
          <w:sz w:val="21"/>
          <w:szCs w:val="21"/>
        </w:rPr>
        <w:t>Qué es este documento.</w:t>
      </w:r>
      <w:r>
        <w:rPr>
          <w:rFonts w:ascii="Calibri" w:eastAsia="Times New Roman" w:hAnsi="Calibri" w:cs="Calibri"/>
          <w:color w:val="1F2933"/>
          <w:sz w:val="21"/>
          <w:szCs w:val="21"/>
        </w:rPr>
        <w:t xml:space="preserve"> Tres «noticias» que describen paquetes de medidas. </w:t>
      </w:r>
      <w:r>
        <w:rPr>
          <w:rFonts w:ascii="Calibri" w:eastAsia="Times New Roman" w:hAnsi="Calibri" w:cs="Calibri"/>
          <w:b/>
          <w:bCs/>
          <w:color w:val="1F2933"/>
          <w:sz w:val="21"/>
          <w:szCs w:val="21"/>
        </w:rPr>
        <w:t>No son noticias reales</w:t>
      </w:r>
      <w:r>
        <w:rPr>
          <w:rFonts w:ascii="Calibri" w:eastAsia="Times New Roman" w:hAnsi="Calibri" w:cs="Calibri"/>
          <w:color w:val="1F2933"/>
          <w:sz w:val="21"/>
          <w:szCs w:val="21"/>
        </w:rPr>
        <w:t xml:space="preserve">: nadie ha anunciado estas medidas. Son la forma de contar el resultado de un cálculo. Cada afirmación sobre lo que mejora o empeora sale del mapa causal del caso; las cifras de contexto llevan su fuente. El mapa indica en qué sentido empuja cada medida y en qué plazo, </w:t>
      </w:r>
      <w:r>
        <w:rPr>
          <w:rFonts w:ascii="Calibri" w:eastAsia="Times New Roman" w:hAnsi="Calibri" w:cs="Calibri"/>
          <w:b/>
          <w:bCs/>
          <w:color w:val="1F2933"/>
          <w:sz w:val="21"/>
          <w:szCs w:val="21"/>
        </w:rPr>
        <w:t>no cuánto</w:t>
      </w:r>
      <w:r>
        <w:rPr>
          <w:rFonts w:ascii="Calibri" w:eastAsia="Times New Roman" w:hAnsi="Calibri" w:cs="Calibri"/>
          <w:color w:val="1F2933"/>
          <w:sz w:val="21"/>
          <w:szCs w:val="21"/>
        </w:rPr>
        <w:t>.</w:t>
      </w:r>
    </w:p>
    <w:p w14:paraId="24727EEA" w14:textId="77777777" w:rsidR="00C27269" w:rsidRDefault="00C27269">
      <w:pPr>
        <w:pStyle w:val="Ttulo2"/>
        <w:rPr>
          <w:rFonts w:ascii="Calibri" w:eastAsia="Times New Roman" w:hAnsi="Calibri" w:cs="Calibri"/>
        </w:rPr>
      </w:pPr>
      <w:r>
        <w:rPr>
          <w:rFonts w:ascii="Calibri" w:eastAsia="Times New Roman" w:hAnsi="Calibri" w:cs="Calibri"/>
        </w:rPr>
        <w:t>Cómo se han elegido</w:t>
      </w:r>
    </w:p>
    <w:p w14:paraId="577BA8C1" w14:textId="77777777" w:rsidR="00C27269" w:rsidRDefault="00C27269">
      <w:pPr>
        <w:pStyle w:val="NormalWeb"/>
        <w:rPr>
          <w:rFonts w:ascii="Calibri" w:hAnsi="Calibri" w:cs="Calibri"/>
          <w:color w:val="1F2933"/>
          <w:sz w:val="21"/>
          <w:szCs w:val="21"/>
        </w:rPr>
      </w:pPr>
      <w:r>
        <w:rPr>
          <w:rFonts w:ascii="Calibri" w:hAnsi="Calibri" w:cs="Calibri"/>
          <w:color w:val="1F2933"/>
          <w:sz w:val="21"/>
          <w:szCs w:val="21"/>
        </w:rPr>
        <w:t xml:space="preserve">El motor ha probado </w:t>
      </w:r>
      <w:r>
        <w:rPr>
          <w:rFonts w:ascii="Calibri" w:hAnsi="Calibri" w:cs="Calibri"/>
          <w:b/>
          <w:bCs/>
          <w:color w:val="1F2933"/>
          <w:sz w:val="21"/>
          <w:szCs w:val="21"/>
        </w:rPr>
        <w:t>61466 combinaciones</w:t>
      </w:r>
      <w:r>
        <w:rPr>
          <w:rFonts w:ascii="Calibri" w:hAnsi="Calibri" w:cs="Calibri"/>
          <w:color w:val="1F2933"/>
          <w:sz w:val="21"/>
          <w:szCs w:val="21"/>
        </w:rPr>
        <w:t>: todas las de hasta 5 medidas entre 16 palancas. Para cada una ha mirado los veintitrés resultados que representan a los ocho actores y ha anotado, usando solo relaciones con fuente, si cada uno mejora, empeora o recibe señales contrarias. Después ha ordenado las combinaciones con criterios escritos de antemano.</w:t>
      </w:r>
    </w:p>
    <w:p w14:paraId="3E05D479" w14:textId="77777777" w:rsidR="00C27269" w:rsidRDefault="00C27269">
      <w:pPr>
        <w:shd w:val="clear" w:color="auto" w:fill="EAF2F8"/>
        <w:divId w:val="848788288"/>
        <w:rPr>
          <w:rFonts w:ascii="Calibri" w:eastAsia="Times New Roman" w:hAnsi="Calibri" w:cs="Calibri"/>
          <w:color w:val="1F2933"/>
          <w:sz w:val="21"/>
          <w:szCs w:val="21"/>
        </w:rPr>
      </w:pPr>
      <w:r>
        <w:rPr>
          <w:rFonts w:ascii="Calibri" w:eastAsia="Times New Roman" w:hAnsi="Calibri" w:cs="Calibri"/>
          <w:b/>
          <w:bCs/>
          <w:color w:val="1F2933"/>
          <w:sz w:val="21"/>
          <w:szCs w:val="21"/>
        </w:rPr>
        <w:t>Primera ronda y efectos de vuelta.</w:t>
      </w:r>
      <w:r>
        <w:rPr>
          <w:rFonts w:ascii="Calibri" w:eastAsia="Times New Roman" w:hAnsi="Calibri" w:cs="Calibri"/>
          <w:color w:val="1F2933"/>
          <w:sz w:val="21"/>
          <w:szCs w:val="21"/>
        </w:rPr>
        <w:t xml:space="preserve"> El veredicto de cada resultado se toma de la </w:t>
      </w:r>
      <w:r>
        <w:rPr>
          <w:rFonts w:ascii="Calibri" w:eastAsia="Times New Roman" w:hAnsi="Calibri" w:cs="Calibri"/>
          <w:b/>
          <w:bCs/>
          <w:color w:val="1F2933"/>
          <w:sz w:val="21"/>
          <w:szCs w:val="21"/>
        </w:rPr>
        <w:t>primera ronda</w:t>
      </w:r>
      <w:r>
        <w:rPr>
          <w:rFonts w:ascii="Calibri" w:eastAsia="Times New Roman" w:hAnsi="Calibri" w:cs="Calibri"/>
          <w:color w:val="1F2933"/>
          <w:sz w:val="21"/>
          <w:szCs w:val="21"/>
        </w:rPr>
        <w:t xml:space="preserve">: las vías causales más cortas. Las más largas, que rodean o realimentan, se cuentan aparte como </w:t>
      </w:r>
      <w:r>
        <w:rPr>
          <w:rFonts w:ascii="Calibri" w:eastAsia="Times New Roman" w:hAnsi="Calibri" w:cs="Calibri"/>
          <w:b/>
          <w:bCs/>
          <w:color w:val="1F2933"/>
          <w:sz w:val="21"/>
          <w:szCs w:val="21"/>
        </w:rPr>
        <w:t>efectos de vuelta</w:t>
      </w:r>
      <w:r>
        <w:rPr>
          <w:rFonts w:ascii="Calibri" w:eastAsia="Times New Roman" w:hAnsi="Calibri" w:cs="Calibri"/>
          <w:color w:val="1F2933"/>
          <w:sz w:val="21"/>
          <w:szCs w:val="21"/>
        </w:rPr>
        <w:t>, a favor o en contra. Es una convención declarada: la primera ronda llega antes, pero el mapa no dice si pesa más.</w:t>
      </w:r>
    </w:p>
    <w:tbl>
      <w:tblPr>
        <w:tblW w:w="5000" w:type="pct"/>
        <w:tblCellMar>
          <w:top w:w="15" w:type="dxa"/>
          <w:left w:w="15" w:type="dxa"/>
          <w:bottom w:w="15" w:type="dxa"/>
          <w:right w:w="15" w:type="dxa"/>
        </w:tblCellMar>
        <w:tblLook w:val="04A0" w:firstRow="1" w:lastRow="0" w:firstColumn="1" w:lastColumn="0" w:noHBand="0" w:noVBand="1"/>
      </w:tblPr>
      <w:tblGrid>
        <w:gridCol w:w="1721"/>
        <w:gridCol w:w="5163"/>
        <w:gridCol w:w="1004"/>
        <w:gridCol w:w="1291"/>
        <w:gridCol w:w="1004"/>
        <w:gridCol w:w="1147"/>
        <w:gridCol w:w="1291"/>
        <w:gridCol w:w="1721"/>
      </w:tblGrid>
      <w:tr w:rsidR="00000000" w14:paraId="0921DF46" w14:textId="77777777" w:rsidTr="00C27269">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B4F01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Criterio</w:t>
            </w:r>
          </w:p>
        </w:tc>
        <w:tc>
          <w:tcPr>
            <w:tcW w:w="1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6A61F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 del paquete</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3C230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17DB7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vuelta en contra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4B58F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A0FBE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EDD17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algún perjuicio</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8ACE8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 mejoran / empeoran / contrarias</w:t>
            </w:r>
          </w:p>
        </w:tc>
      </w:tr>
      <w:tr w:rsidR="00000000" w14:paraId="26CE5D9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F25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AB544" w14:textId="77777777" w:rsidR="00C27269" w:rsidRDefault="00C27269">
            <w:pPr>
              <w:numPr>
                <w:ilvl w:val="0"/>
                <w:numId w:val="1"/>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3468D2BC" w14:textId="77777777" w:rsidR="00C27269" w:rsidRDefault="00C27269">
            <w:pPr>
              <w:numPr>
                <w:ilvl w:val="0"/>
                <w:numId w:val="1"/>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958D4"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19162"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34AAC"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47BC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E6714"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52A8D"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r w:rsidR="00000000" w14:paraId="31BD6B1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8E85B"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6D2FB" w14:textId="77777777" w:rsidR="00C27269" w:rsidRDefault="00C27269">
            <w:pPr>
              <w:numPr>
                <w:ilvl w:val="0"/>
                <w:numId w:val="2"/>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6378E4E9" w14:textId="77777777" w:rsidR="00C27269" w:rsidRDefault="00C27269">
            <w:pPr>
              <w:numPr>
                <w:ilvl w:val="0"/>
                <w:numId w:val="2"/>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F2B6E8"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FAA37"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11C1D8"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64859"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23FB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644BD1"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6 / 0 / 0</w:t>
            </w:r>
          </w:p>
        </w:tc>
      </w:tr>
      <w:tr w:rsidR="00000000" w14:paraId="74EBA6B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1325B"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lastRenderedPageBreak/>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B5BC53" w14:textId="77777777" w:rsidR="00C27269" w:rsidRDefault="00C27269">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p w14:paraId="0706B23E" w14:textId="77777777" w:rsidR="00C27269" w:rsidRDefault="00C27269">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p w14:paraId="26F0B231" w14:textId="77777777" w:rsidR="00C27269" w:rsidRDefault="00C27269">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F0C815"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8B602"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B1F40"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AC0C1"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21892D"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84DC1"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7 / 5 / 0</w:t>
            </w:r>
          </w:p>
        </w:tc>
      </w:tr>
      <w:tr w:rsidR="00000000" w14:paraId="5845783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8F217"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C03D8" w14:textId="77777777" w:rsidR="00C27269" w:rsidRDefault="00C27269">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p w14:paraId="75CC44BD" w14:textId="77777777" w:rsidR="00C27269" w:rsidRDefault="00C27269">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p w14:paraId="38760D9B" w14:textId="77777777" w:rsidR="00C27269" w:rsidRDefault="00C27269">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4D265"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8336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9A20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ADB8B"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50F8F"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E28CE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8 / 4 / 1</w:t>
            </w:r>
          </w:p>
        </w:tc>
      </w:tr>
      <w:tr w:rsidR="00000000" w14:paraId="709109E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13263"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6F574" w14:textId="77777777" w:rsidR="00C27269" w:rsidRDefault="00C27269">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5A5335C9" w14:textId="77777777" w:rsidR="00C27269" w:rsidRDefault="00C27269">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45434745" w14:textId="77777777" w:rsidR="00C27269" w:rsidRDefault="00C27269">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20772"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47109"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15132"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4A66F"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1BDCD"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B3444"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7 / 4 / 0</w:t>
            </w:r>
          </w:p>
        </w:tc>
      </w:tr>
      <w:tr w:rsidR="00000000" w14:paraId="169DDFE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54CF8"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6712E" w14:textId="77777777" w:rsidR="00C27269" w:rsidRDefault="00C27269">
            <w:pPr>
              <w:numPr>
                <w:ilvl w:val="0"/>
                <w:numId w:val="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17C0B633" w14:textId="77777777" w:rsidR="00C27269" w:rsidRDefault="00C27269">
            <w:pPr>
              <w:numPr>
                <w:ilvl w:val="0"/>
                <w:numId w:val="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 xml:space="preserve">Crear una garantía pública que pague o asegure la renta al </w:t>
            </w:r>
            <w:r>
              <w:rPr>
                <w:rFonts w:ascii="Calibri" w:eastAsia="Times New Roman" w:hAnsi="Calibri" w:cs="Calibri"/>
                <w:color w:val="1F2933"/>
                <w:sz w:val="18"/>
                <w:szCs w:val="18"/>
              </w:rPr>
              <w:lastRenderedPageBreak/>
              <w:t>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A76C0"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lastRenderedPageBreak/>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A94BE"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391391"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B073A6"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17633"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08CFF"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r>
      <w:tr w:rsidR="00000000" w14:paraId="613447C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2EBB8" w14:textId="77777777" w:rsidR="00C27269" w:rsidRDefault="00C27269">
            <w:pPr>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9CD09" w14:textId="77777777" w:rsidR="00C27269" w:rsidRDefault="00C27269">
            <w:pPr>
              <w:numPr>
                <w:ilvl w:val="0"/>
                <w:numId w:val="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1E7B87EC" w14:textId="77777777" w:rsidR="00C27269" w:rsidRDefault="00C27269">
            <w:pPr>
              <w:numPr>
                <w:ilvl w:val="0"/>
                <w:numId w:val="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A1E50"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991AA"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62635"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94BE67"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97F0F"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C5637" w14:textId="77777777" w:rsidR="00C27269" w:rsidRDefault="00C27269">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bl>
    <w:p w14:paraId="2DB3A325" w14:textId="77777777" w:rsidR="00C27269" w:rsidRDefault="00C27269">
      <w:pPr>
        <w:pStyle w:val="pie"/>
        <w:spacing w:before="0" w:beforeAutospacing="0" w:after="120" w:afterAutospacing="0"/>
        <w:rPr>
          <w:rFonts w:ascii="Calibri" w:hAnsi="Calibri" w:cs="Calibri"/>
        </w:rPr>
      </w:pPr>
      <w:r>
        <w:rPr>
          <w:rFonts w:ascii="Calibri" w:hAnsi="Calibri" w:cs="Calibri"/>
        </w:rPr>
        <w:t>Las cifras cuentan resultados sobre veintitrés. La última columna repite el recuento usando solo relaciones de confianza media o alta. Se cuentan como noticia los tres primeros criterios que dan paquetes distintos y defendibles: menor coste social, sin perdedores y solo evidencia firme.</w:t>
      </w:r>
    </w:p>
    <w:p w14:paraId="5F869F33" w14:textId="77777777" w:rsidR="00C27269" w:rsidRDefault="00C27269">
      <w:pPr>
        <w:pStyle w:val="sello"/>
        <w:spacing w:before="280" w:beforeAutospacing="0" w:after="120" w:afterAutospacing="0"/>
        <w:divId w:val="1939750645"/>
        <w:rPr>
          <w:rFonts w:ascii="Calibri" w:hAnsi="Calibri" w:cs="Calibri"/>
        </w:rPr>
      </w:pPr>
      <w:r>
        <w:rPr>
          <w:rFonts w:ascii="Calibri" w:hAnsi="Calibri" w:cs="Calibri"/>
        </w:rPr>
        <w:t>NOTICIA SIMULADA · PAQUETE P4 · MENOR COSTE SOCIAL</w:t>
      </w:r>
    </w:p>
    <w:p w14:paraId="4A9662C9" w14:textId="77777777" w:rsidR="00C27269" w:rsidRDefault="00C27269">
      <w:pPr>
        <w:pStyle w:val="titular"/>
        <w:spacing w:before="0" w:beforeAutospacing="0"/>
        <w:divId w:val="1939750645"/>
        <w:rPr>
          <w:rFonts w:cs="Calibri"/>
        </w:rPr>
      </w:pPr>
      <w:r>
        <w:rPr>
          <w:rFonts w:cs="Calibri"/>
        </w:rPr>
        <w:t>Menos pisos turísticos, compra pública de vivienda y reglas estables: el plan que mejora la vida de más gente</w:t>
      </w:r>
    </w:p>
    <w:p w14:paraId="06588B25" w14:textId="77777777" w:rsidR="00C27269" w:rsidRDefault="00C27269">
      <w:pPr>
        <w:pStyle w:val="entradilla"/>
        <w:spacing w:before="0" w:beforeAutospacing="0"/>
        <w:divId w:val="1939750645"/>
        <w:rPr>
          <w:rFonts w:cs="Calibri"/>
        </w:rPr>
      </w:pPr>
      <w:r>
        <w:rPr>
          <w:rFonts w:cs="Calibri"/>
        </w:rPr>
        <w:t>Cuando lo que se cuenta no es el beneficio de quien ofrece vivienda sino cómo viven las personas, gana una familia de paquetes con una pieza fija: limitar el uso turístico de la vivienda. Mejoran trece de los quince resultados sociales y no empeora ninguno. El coste recae en los turistas y en la construcción nueva.</w:t>
      </w:r>
    </w:p>
    <w:p w14:paraId="0DDEC0EB"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El criterio es distinto del habitual. Solo puntúan quince resultados: poder pagar, tener dónde vivir, no ser expulsado, no ser descartado al buscar piso y poder emanciparse. La rentabilidad del propietario y la producción de vivienda se informan, pero no suman ni restan.</w:t>
      </w:r>
    </w:p>
    <w:p w14:paraId="359BACDF"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 xml:space="preserve">Con esa regla empatan seis paquetes. Todos incluyen restringir las viviendas de uso turístico, que devuelve oferta al alquiler y baja los precios donde se concentran. Las otras dos piezas salen de un mismo grupo: ampliar la compra pública de viviendas y edificios o invertir en vivienda protegida; rebajar impuestos o garantizar el cobro al pequeño propietario que alquila como vivienda habitual; y pactar un periodo largo sin cambios en las reglas del alquiler. El que encabeza la lista combina turismo, compra </w:t>
      </w:r>
      <w:r>
        <w:rPr>
          <w:rFonts w:ascii="Georgia" w:hAnsi="Georgia" w:cs="Calibri"/>
          <w:color w:val="1F2933"/>
          <w:sz w:val="21"/>
          <w:szCs w:val="21"/>
        </w:rPr>
        <w:t>pública y reglas estables.</w:t>
      </w:r>
    </w:p>
    <w:p w14:paraId="3043B503"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Los hogares que alquilan ganan en seis frentes: precio, esfuerzo, oferta, menos exigencia al seleccionar, menos mudanzas forzosas y menos desplazamiento de los centros. Los jóvenes, en emancipación y en precio y esfuerzo de compra, y hay menos hogares que no llegan a formarse. Mejoran también la exclusión residencial, el parque social y la brecha de riqueza.</w:t>
      </w:r>
    </w:p>
    <w:p w14:paraId="3084114D"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Con evidencia de confianza media o alta quedan ocho mejoras sociales y ningún perjuicio social. La pieza que lo sostiene es la turística. Las viviendas turísticas son el 1,3 % del parque del país, pero el 13 % en el distrito más turístico de Sevilla y, sobre el mercado de alquiler del centro turístico, el 45 % en Sevilla y Málaga y el 22 % en Barcelona (INE; Banco de España). En Barcelona encarecieron el alquiler un 7 % en los barrios con más presión, y en Madrid cada piso turístico supone un hogar menos en</w:t>
      </w:r>
      <w:r>
        <w:rPr>
          <w:rFonts w:ascii="Georgia" w:hAnsi="Georgia" w:cs="Calibri"/>
          <w:color w:val="1F2933"/>
          <w:sz w:val="21"/>
          <w:szCs w:val="21"/>
        </w:rPr>
        <w:t xml:space="preserve"> el barrio, según dos estudios con identificación causal.</w:t>
      </w:r>
    </w:p>
    <w:p w14:paraId="55988F50"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Los costes recaen fuera del objetivo. Pierden los turistas, con menos viviendas turísticas y alojamiento más caro. Y empeoran las viviendas iniciadas y terminadas y el déficit: en el mapa, un precio más bajo reduce el incentivo a construir.</w:t>
      </w:r>
    </w:p>
    <w:p w14:paraId="58BECFD2" w14:textId="77777777" w:rsidR="00C27269" w:rsidRDefault="00C27269">
      <w:pPr>
        <w:spacing w:after="120"/>
        <w:divId w:val="689645260"/>
        <w:rPr>
          <w:rFonts w:ascii="Georgia" w:hAnsi="Georgia" w:cs="Calibri"/>
          <w:color w:val="1F2933"/>
          <w:sz w:val="21"/>
          <w:szCs w:val="21"/>
        </w:rPr>
      </w:pPr>
      <w:r>
        <w:rPr>
          <w:rFonts w:ascii="Georgia" w:hAnsi="Georgia" w:cs="Calibri"/>
          <w:color w:val="1F2933"/>
          <w:sz w:val="21"/>
          <w:szCs w:val="21"/>
        </w:rPr>
        <w:t>La letra pequeña: once de las catorce mejoras tienen efectos de vuelta en contra, y nadie ha podido medir en España adónde van las viviendas que dejan de ser turísticas. En la Comunidad de Madrid, el 83 % de las solicitudes de registro de corta duración eran de alquiler de temporada (Ministerio de Vivienda, 2026).</w:t>
      </w:r>
    </w:p>
    <w:p w14:paraId="2B378A60" w14:textId="77777777" w:rsidR="00C27269" w:rsidRDefault="00C27269">
      <w:pPr>
        <w:pStyle w:val="NormalWeb"/>
        <w:divId w:val="1939750645"/>
        <w:rPr>
          <w:rFonts w:ascii="Calibri" w:hAnsi="Calibri" w:cs="Calibri"/>
          <w:color w:val="1F2933"/>
          <w:sz w:val="21"/>
          <w:szCs w:val="21"/>
        </w:rPr>
      </w:pPr>
      <w:r>
        <w:rPr>
          <w:rFonts w:ascii="Calibri" w:hAnsi="Calibri" w:cs="Calibri"/>
          <w:b/>
          <w:bCs/>
          <w:color w:val="1F2933"/>
          <w:sz w:val="21"/>
          <w:szCs w:val="21"/>
        </w:rPr>
        <w:t>De qué depende.</w:t>
      </w:r>
      <w:r>
        <w:rPr>
          <w:rFonts w:ascii="Calibri" w:hAnsi="Calibri" w:cs="Calibri"/>
          <w:color w:val="1F2933"/>
          <w:sz w:val="21"/>
          <w:szCs w:val="21"/>
        </w:rPr>
        <w:t xml:space="preserve"> De que las viviendas que salen del uso turístico vuelvan al alquiler habitual y no al de temporada, y de que la Administración tenga dinero y medios para comprar: en la Comunitat Valenciana no se adquirió ninguna vivienda por tanteo en 2024, por falta de ambos. Cuál de los seis paquetes empatados aparece primero ha cambiado en cada versión del cálculo; lo estable es la pieza turística.</w:t>
      </w:r>
    </w:p>
    <w:p w14:paraId="0CC44B9C"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Regla de selección.</w:t>
      </w:r>
      <w:r>
        <w:rPr>
          <w:rFonts w:ascii="Calibri" w:hAnsi="Calibri" w:cs="Calibri"/>
          <w:color w:val="1F2933"/>
          <w:sz w:val="21"/>
          <w:szCs w:val="21"/>
        </w:rPr>
        <w:t xml:space="preserve"> Solo cuentan los resultados que describen cómo viven las personas; la rentabilidad de quien ofrece no puntúa ni penaliza. Primero, el mayor saldo entre resultados sociales que mejoran y que empeoran en primera ronda; después, menos resultados sociales que empeoran; menos con señales contrarias; menos mejoras con efectos de vuelta en contra; mayor saldo usando solo evidencia media o alta; menos medidas.</w:t>
      </w:r>
    </w:p>
    <w:tbl>
      <w:tblPr>
        <w:tblW w:w="5000" w:type="pct"/>
        <w:tblCellMar>
          <w:top w:w="15" w:type="dxa"/>
          <w:left w:w="15" w:type="dxa"/>
          <w:bottom w:w="15" w:type="dxa"/>
          <w:right w:w="15" w:type="dxa"/>
        </w:tblCellMar>
        <w:tblLook w:val="04A0" w:firstRow="1" w:lastRow="0" w:firstColumn="1" w:lastColumn="0" w:noHBand="0" w:noVBand="1"/>
      </w:tblPr>
      <w:tblGrid>
        <w:gridCol w:w="6454"/>
        <w:gridCol w:w="3872"/>
        <w:gridCol w:w="4016"/>
      </w:tblGrid>
      <w:tr w:rsidR="00000000" w14:paraId="4EEABC01" w14:textId="77777777" w:rsidTr="00C27269">
        <w:tc>
          <w:tcPr>
            <w:tcW w:w="2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95652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558B7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 del mapa y sentido</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BD32978"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Supuesto que añade</w:t>
            </w:r>
          </w:p>
        </w:tc>
      </w:tr>
      <w:tr w:rsidR="00000000" w14:paraId="778AD71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B634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C90BA"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292C0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r w:rsidR="00000000" w14:paraId="4C73EFE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98EC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83068"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5C8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Supone que el pacto se cumple.</w:t>
            </w:r>
          </w:p>
        </w:tc>
      </w:tr>
      <w:tr w:rsidR="00000000" w14:paraId="725CF7C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666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581013"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Compra preferente de vivienda por la Administraci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D8A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bl>
    <w:p w14:paraId="7399D71E" w14:textId="77777777" w:rsidR="00C27269" w:rsidRDefault="00C27269">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2581"/>
        <w:gridCol w:w="4016"/>
        <w:gridCol w:w="1578"/>
        <w:gridCol w:w="2008"/>
        <w:gridCol w:w="2151"/>
        <w:gridCol w:w="2008"/>
      </w:tblGrid>
      <w:tr w:rsidR="00000000" w14:paraId="3CDC954B" w14:textId="77777777" w:rsidTr="00C27269">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DE8DA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ED7EA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20F36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25D63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97A6C3"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 (a favor · en contra)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E57C4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51E7B77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823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4D59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3D68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FA6B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1121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F61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5713B0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75C897"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D0E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40BB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5C862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362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01A6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A4933D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361E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092C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B68F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C64D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D9C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DA96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CDA38B7"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7250F"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59BC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4CC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3238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B5BE4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2001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4703B9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BE8D77"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5BE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C53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9E59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8943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3F0F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DEA172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A5C4E"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A3F76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5EB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49AD7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035B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9DA5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776F74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7A51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D610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1EB7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4085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06A4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96D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DC0EAD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F8CDC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FB68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F5C5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B925A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50CC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27AA6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3223F0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D0CA6"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DB031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133BF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030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8FE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496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D5A355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89AA1"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0D70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6C8E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6A5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67FA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C1E7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1B1DF5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D30B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365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682A9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722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3FBA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13 · </w:t>
            </w:r>
            <w:r>
              <w:rPr>
                <w:rFonts w:ascii="Calibri" w:eastAsia="Times New Roman" w:hAnsi="Calibri" w:cs="Calibri"/>
                <w:color w:val="C05621"/>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1E7A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A146B7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10FD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9E77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1FF8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487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FF5F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 </w:t>
            </w:r>
            <w:r>
              <w:rPr>
                <w:rFonts w:ascii="Calibri" w:eastAsia="Times New Roman" w:hAnsi="Calibri" w:cs="Calibri"/>
                <w:color w:val="C05621"/>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BF8C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5D11B7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6ADD3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64B6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835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7B3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B1A9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6E87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53122F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8406E"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CBA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7AB5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4B9B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47E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BFE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370E8A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648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72A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20F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5AA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7E0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39A4B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DD03C3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9954C3"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5826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765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8E39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2363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6177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45C0CB2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355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1BC2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B045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2935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7A3AC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14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2CF50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314BE6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3DBD08"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89A2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1A341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C79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19B0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4469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25A968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DA8F4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760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FBE48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B1D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29BC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F09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08494B6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EC99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9417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112F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1C2C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96B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BB9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E5220F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DDB2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09AF2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081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B7417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56F7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83E1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0C8565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C86B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840B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777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E63D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92B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F901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232079D7"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A63615"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586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BA1DB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12AAF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48F4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98BA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2FEEE89A"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Lo que el cálculo no ve.</w:t>
      </w:r>
      <w:r>
        <w:rPr>
          <w:rFonts w:ascii="Calibri" w:hAnsi="Calibri" w:cs="Calibri"/>
          <w:color w:val="1F2933"/>
          <w:sz w:val="21"/>
          <w:szCs w:val="21"/>
        </w:rPr>
        <w:t xml:space="preserve"> Efectos de estas medidas que solo constan como conjetura o como hipótesis y que, por tanto, no cuentan:</w:t>
      </w:r>
    </w:p>
    <w:tbl>
      <w:tblPr>
        <w:tblW w:w="5000" w:type="pct"/>
        <w:tblCellMar>
          <w:top w:w="15" w:type="dxa"/>
          <w:left w:w="15" w:type="dxa"/>
          <w:bottom w:w="15" w:type="dxa"/>
          <w:right w:w="15" w:type="dxa"/>
        </w:tblCellMar>
        <w:tblLook w:val="04A0" w:firstRow="1" w:lastRow="0" w:firstColumn="1" w:lastColumn="0" w:noHBand="0" w:noVBand="1"/>
      </w:tblPr>
      <w:tblGrid>
        <w:gridCol w:w="2868"/>
        <w:gridCol w:w="3586"/>
        <w:gridCol w:w="2868"/>
        <w:gridCol w:w="5020"/>
      </w:tblGrid>
      <w:tr w:rsidR="00000000" w14:paraId="677341EF" w14:textId="77777777" w:rsidTr="00C27269">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5E17F6"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CA252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 no contado</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008C34"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Por qué no cuenta</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0F9FD2"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r>
      <w:tr w:rsidR="00000000" w14:paraId="0959E1F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B5576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6BB4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B306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Conjetura: lo afirma un solo actor o está disputada sin datos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C3C8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norma cambia a menudo, el propietario no sabe a qué atenerse.</w:t>
            </w:r>
          </w:p>
        </w:tc>
      </w:tr>
      <w:tr w:rsidR="00000000" w14:paraId="604AFE8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F07B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preferente de vivienda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18C84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85E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2C7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Administración compra el edificio, los inquilinos se quedan.</w:t>
            </w:r>
          </w:p>
        </w:tc>
      </w:tr>
    </w:tbl>
    <w:p w14:paraId="381310DB"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Empate.</w:t>
      </w:r>
      <w:r>
        <w:rPr>
          <w:rFonts w:ascii="Calibri" w:hAnsi="Calibri" w:cs="Calibri"/>
          <w:color w:val="1F2933"/>
          <w:sz w:val="21"/>
          <w:szCs w:val="21"/>
        </w:rPr>
        <w:t xml:space="preserve"> 6 paquetes obtienen exactamente la misma puntuación con esta regla y el mismo número de medidas; se muestra el primero en el orden de la lista de palancas. Los empatados: restringir las viviendas de uso turístico + pactar un periodo largo sin cambios en las reglas del alquiler + ampliar la compra preferente de viviendas y edificios por la Administración; restringir las viviendas de uso turístico + crear una garantía pública que pague o asegure la renta al pequeño propietario + pactar un periodo largo sin c</w:t>
      </w:r>
      <w:r>
        <w:rPr>
          <w:rFonts w:ascii="Calibri" w:hAnsi="Calibri" w:cs="Calibri"/>
          <w:color w:val="1F2933"/>
          <w:sz w:val="21"/>
          <w:szCs w:val="21"/>
        </w:rPr>
        <w:t>ambios en las reglas del alquiler; restringir las viviendas de uso turístico + aumentar la inversión pública en vivienda protegida + pactar un periodo largo sin cambios en las reglas del alquiler; restringir las viviendas de uso turístico + ampliar la rebaja fiscal al propietario que alquila como vivienda habitual + ampliar la compra preferente de viviendas y edificios por la Administración; restringir las viviendas de uso turístico + ampliar la rebaja fiscal al propietario que alquila como vivienda habitua</w:t>
      </w:r>
      <w:r>
        <w:rPr>
          <w:rFonts w:ascii="Calibri" w:hAnsi="Calibri" w:cs="Calibri"/>
          <w:color w:val="1F2933"/>
          <w:sz w:val="21"/>
          <w:szCs w:val="21"/>
        </w:rPr>
        <w:t>l + crear una garantía pública que pague o asegure la renta al pequeño propietario; restringir las viviendas de uso turístico + ampliar la rebaja fiscal al propietario que alquila como vivienda habitual + aumentar la inversión pública en vivienda protegida.</w:t>
      </w:r>
    </w:p>
    <w:p w14:paraId="4E7A618C"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Paquetes que le siguen con el mismo criterio:</w:t>
      </w:r>
    </w:p>
    <w:tbl>
      <w:tblPr>
        <w:tblW w:w="5000" w:type="pct"/>
        <w:tblCellMar>
          <w:top w:w="15" w:type="dxa"/>
          <w:left w:w="15" w:type="dxa"/>
          <w:bottom w:w="15" w:type="dxa"/>
          <w:right w:w="15" w:type="dxa"/>
        </w:tblCellMar>
        <w:tblLook w:val="04A0" w:firstRow="1" w:lastRow="0" w:firstColumn="1" w:lastColumn="0" w:noHBand="0" w:noVBand="1"/>
      </w:tblPr>
      <w:tblGrid>
        <w:gridCol w:w="861"/>
        <w:gridCol w:w="7458"/>
        <w:gridCol w:w="1147"/>
        <w:gridCol w:w="1291"/>
        <w:gridCol w:w="1147"/>
        <w:gridCol w:w="1291"/>
        <w:gridCol w:w="1147"/>
      </w:tblGrid>
      <w:tr w:rsidR="00000000" w14:paraId="0C74BF53" w14:textId="77777777" w:rsidTr="00C27269">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FD1658"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Puesto</w:t>
            </w:r>
          </w:p>
        </w:tc>
        <w:tc>
          <w:tcPr>
            <w:tcW w:w="2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4F09AE"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A333EA4"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AF6D8AB"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vuelta en contra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E2EFB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12FFEB"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F0BC4D"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perjuicio</w:t>
            </w:r>
          </w:p>
        </w:tc>
      </w:tr>
      <w:tr w:rsidR="00000000" w14:paraId="6B299EB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DC959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64864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0D8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10D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5E14D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3797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68B66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9DECA4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BFAB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E76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crear una garantía pública que pague o asegure la renta al pequeño propietario;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2310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FFB5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343E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7FCF1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8F3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740F131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1E1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36B2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aumentar la inversión pública en vivienda protegida;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A19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DE14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79B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31C9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BB1C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73CAB35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CAC0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4166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BDAC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04AE1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8031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AAB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E241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768546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EBA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49BC7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F48A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3872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41A5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3402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16C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FC8AEB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BFD3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F01F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ampliar la rebaja fiscal al propietario que alquila como vivienda habitual; 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B8E1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7D4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087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EC28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9E6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F3B0BA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3B69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182D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5823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077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330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C040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3149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D55DBB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BC59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8E2B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regular el alquiler de temporada;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F4A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8D47D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9AC0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18F6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9560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bl>
    <w:p w14:paraId="01DA52B9" w14:textId="77777777" w:rsidR="00C27269" w:rsidRDefault="00C27269">
      <w:pPr>
        <w:pStyle w:val="sello"/>
        <w:spacing w:before="0" w:beforeAutospacing="0" w:after="120" w:afterAutospacing="0"/>
        <w:rPr>
          <w:rFonts w:ascii="Calibri" w:hAnsi="Calibri" w:cs="Calibri"/>
        </w:rPr>
      </w:pPr>
      <w:r>
        <w:rPr>
          <w:rFonts w:ascii="Calibri" w:eastAsia="Times New Roman" w:hAnsi="Calibri" w:cs="Calibri"/>
          <w:color w:val="1F2933"/>
          <w:sz w:val="21"/>
          <w:szCs w:val="21"/>
        </w:rPr>
        <w:br w:type="page"/>
      </w:r>
      <w:r>
        <w:rPr>
          <w:rFonts w:ascii="Calibri" w:hAnsi="Calibri" w:cs="Calibri"/>
        </w:rPr>
        <w:t>NOTICIA SIMULADA · PAQUETE P1 · SIN PERDEDORES</w:t>
      </w:r>
    </w:p>
    <w:p w14:paraId="2FA43DE1" w14:textId="77777777" w:rsidR="00C27269" w:rsidRDefault="00C27269">
      <w:pPr>
        <w:pStyle w:val="titular"/>
        <w:spacing w:before="0" w:beforeAutospacing="0"/>
        <w:rPr>
          <w:rFonts w:cs="Calibri"/>
        </w:rPr>
      </w:pPr>
      <w:r>
        <w:rPr>
          <w:rFonts w:cs="Calibri"/>
        </w:rPr>
        <w:t>Suelo más rápido y un incentivo para alquilar: catorce mejoras y ningún perjudicado de entrada</w:t>
      </w:r>
    </w:p>
    <w:p w14:paraId="4AE69CD5" w14:textId="77777777" w:rsidR="00C27269" w:rsidRDefault="00C27269">
      <w:pPr>
        <w:pStyle w:val="entradilla"/>
        <w:spacing w:before="0" w:beforeAutospacing="0"/>
        <w:rPr>
          <w:rFonts w:cs="Calibri"/>
        </w:rPr>
      </w:pPr>
      <w:r>
        <w:rPr>
          <w:rFonts w:cs="Calibri"/>
        </w:rPr>
        <w:t>Si la condición es que ningún actor salga perjudicado en primera ronda, ni siquiera los turistas o los propietarios, el cálculo se queda con dos medidas: acortar los plazos urbanísticos y ampliar la rebaja fiscal a quien alquila como vivienda habitual.</w:t>
      </w:r>
    </w:p>
    <w:p w14:paraId="0C1B7BC9" w14:textId="77777777" w:rsidR="00C27269" w:rsidRDefault="00C27269">
      <w:pPr>
        <w:spacing w:after="120"/>
        <w:divId w:val="1024405637"/>
        <w:rPr>
          <w:rFonts w:ascii="Georgia" w:hAnsi="Georgia" w:cs="Calibri"/>
          <w:color w:val="1F2933"/>
          <w:sz w:val="21"/>
          <w:szCs w:val="21"/>
        </w:rPr>
      </w:pPr>
      <w:r>
        <w:rPr>
          <w:rFonts w:ascii="Georgia" w:hAnsi="Georgia" w:cs="Calibri"/>
          <w:color w:val="1F2933"/>
          <w:sz w:val="21"/>
          <w:szCs w:val="21"/>
        </w:rPr>
        <w:t>Comparte con el anterior la rebaja fiscal y cambia las dos intervenciones por la reforma del suelo. La rebaja fiscal trabaja sobre la vivienda que ya existe; la reforma del suelo, sobre la que falta. Mejoran catorce de los veintitrés resultados y no empeora ninguno.</w:t>
      </w:r>
    </w:p>
    <w:p w14:paraId="156890C9" w14:textId="77777777" w:rsidR="00C27269" w:rsidRDefault="00C27269">
      <w:pPr>
        <w:spacing w:after="120"/>
        <w:divId w:val="1024405637"/>
        <w:rPr>
          <w:rFonts w:ascii="Georgia" w:hAnsi="Georgia" w:cs="Calibri"/>
          <w:color w:val="1F2933"/>
          <w:sz w:val="21"/>
          <w:szCs w:val="21"/>
        </w:rPr>
      </w:pPr>
      <w:r>
        <w:rPr>
          <w:rFonts w:ascii="Georgia" w:hAnsi="Georgia" w:cs="Calibri"/>
          <w:color w:val="1F2933"/>
          <w:sz w:val="21"/>
          <w:szCs w:val="21"/>
        </w:rPr>
        <w:t>La pieza fiscal está evaluada. La autoridad fiscal independiente concluyó en 2020 que la reducción del 60 % «sí consigue su objetivo de fomentar la oferta», y observó que al suprimirse en 2015 la reducción del 100 % por alquilar a jóvenes, el 12 % de esos inmuebles salió del alquiler en tres años, frente al 9 % del resto (AIReF). La misma evaluación la califica de regresiva y propone reformularla.</w:t>
      </w:r>
    </w:p>
    <w:p w14:paraId="67871C6D" w14:textId="77777777" w:rsidR="00C27269" w:rsidRDefault="00C27269">
      <w:pPr>
        <w:spacing w:after="120"/>
        <w:divId w:val="1024405637"/>
        <w:rPr>
          <w:rFonts w:ascii="Georgia" w:hAnsi="Georgia" w:cs="Calibri"/>
          <w:color w:val="1F2933"/>
          <w:sz w:val="21"/>
          <w:szCs w:val="21"/>
        </w:rPr>
      </w:pPr>
      <w:r>
        <w:rPr>
          <w:rFonts w:ascii="Georgia" w:hAnsi="Georgia" w:cs="Calibri"/>
          <w:color w:val="1F2933"/>
          <w:sz w:val="21"/>
          <w:szCs w:val="21"/>
        </w:rPr>
        <w:t>Su debilidad aparece al exigir evidencia firme: quedan ocho mejoras y tres perjuicios. El precio y el esfuerzo de compra pasan de mejorar a empeorar, y con ellos la rentabilidad bruta del arrendador, porque la vía corta que los mejoraba, la del suelo, descansa en evidencia débil. Con el criterio de coste social obtiene dos puntos menos que el paquete ganador, y con evidencia firme la distancia es mayor: +3 frente a +8.</w:t>
      </w:r>
    </w:p>
    <w:p w14:paraId="455A5E49" w14:textId="77777777" w:rsidR="00C27269" w:rsidRDefault="00C27269">
      <w:pPr>
        <w:spacing w:after="120"/>
        <w:divId w:val="1024405637"/>
        <w:rPr>
          <w:rFonts w:ascii="Georgia" w:hAnsi="Georgia" w:cs="Calibri"/>
          <w:color w:val="1F2933"/>
          <w:sz w:val="21"/>
          <w:szCs w:val="21"/>
        </w:rPr>
      </w:pPr>
      <w:r>
        <w:rPr>
          <w:rFonts w:ascii="Georgia" w:hAnsi="Georgia" w:cs="Calibri"/>
          <w:color w:val="1F2933"/>
          <w:sz w:val="21"/>
          <w:szCs w:val="21"/>
        </w:rPr>
        <w:t>No mueve nada, según el mapa, para turistas, estudiantes y residentes temporales, ni reduce el riesgo que percibe quien alquila.</w:t>
      </w:r>
    </w:p>
    <w:p w14:paraId="36DFE472"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De qué depende.</w:t>
      </w:r>
      <w:r>
        <w:rPr>
          <w:rFonts w:ascii="Calibri" w:hAnsi="Calibri" w:cs="Calibri"/>
          <w:color w:val="1F2933"/>
          <w:sz w:val="21"/>
          <w:szCs w:val="21"/>
        </w:rPr>
        <w:t xml:space="preserve"> Del supuesto de que una reforma administrativa acorta de verdad los plazos: lo medido es que solo el 25,8 % de los grandes sectores residenciales tiene suelo urbanizado disponible (Ministerio de Vivienda, 2025), no cuánto se ganaría acortándolos.</w:t>
      </w:r>
    </w:p>
    <w:p w14:paraId="464BBFA8"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Regla de selección.</w:t>
      </w:r>
      <w:r>
        <w:rPr>
          <w:rFonts w:ascii="Calibri" w:hAnsi="Calibri" w:cs="Calibri"/>
          <w:color w:val="1F2933"/>
          <w:sz w:val="21"/>
          <w:szCs w:val="21"/>
        </w:rPr>
        <w:t xml:space="preserve"> Entre los paquetes que mejoran al menos un resultado: primero, el menor número de actores con algún resultado que empeora en primera ronda; después, menos resultados que empeoran; menos con señales contrarias; menos mejoras con efectos de vuelta en contra; más resultados que mejoran; menos medidas; y, si aún hay empate, mejor saldo con evidencia media o alta. Con todas las relaciones que tienen apoyo.</w:t>
      </w:r>
    </w:p>
    <w:tbl>
      <w:tblPr>
        <w:tblW w:w="5000" w:type="pct"/>
        <w:tblCellMar>
          <w:top w:w="15" w:type="dxa"/>
          <w:left w:w="15" w:type="dxa"/>
          <w:bottom w:w="15" w:type="dxa"/>
          <w:right w:w="15" w:type="dxa"/>
        </w:tblCellMar>
        <w:tblLook w:val="04A0" w:firstRow="1" w:lastRow="0" w:firstColumn="1" w:lastColumn="0" w:noHBand="0" w:noVBand="1"/>
      </w:tblPr>
      <w:tblGrid>
        <w:gridCol w:w="6454"/>
        <w:gridCol w:w="3872"/>
        <w:gridCol w:w="4016"/>
      </w:tblGrid>
      <w:tr w:rsidR="00000000" w14:paraId="62357C0D" w14:textId="77777777" w:rsidTr="00C27269">
        <w:tc>
          <w:tcPr>
            <w:tcW w:w="2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046C7E"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C2FD28"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 del mapa y sentido</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76CA23"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Supuesto que añade</w:t>
            </w:r>
          </w:p>
        </w:tc>
      </w:tr>
      <w:tr w:rsidR="00000000" w14:paraId="3F9D520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4E8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BEE22E"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Incentivos fiscales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7D4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r w:rsidR="00000000" w14:paraId="0900EBE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FEC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74313"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4F9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Supone que una reforma administrativa acorta de verdad los plazos.</w:t>
            </w:r>
          </w:p>
        </w:tc>
      </w:tr>
    </w:tbl>
    <w:p w14:paraId="03664CE5" w14:textId="77777777" w:rsidR="00C27269" w:rsidRDefault="00C27269">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2581"/>
        <w:gridCol w:w="4016"/>
        <w:gridCol w:w="1578"/>
        <w:gridCol w:w="2008"/>
        <w:gridCol w:w="2151"/>
        <w:gridCol w:w="2008"/>
      </w:tblGrid>
      <w:tr w:rsidR="00000000" w14:paraId="4FFAC6CF" w14:textId="77777777" w:rsidTr="00C27269">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A0901D"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8C54E5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45C884D"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E5BA22"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225AC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 (a favor · en contra)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0084FE"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578445B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A9D8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0B6A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CBCB1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BAB9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399F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A5D9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49ABA9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2C18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798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4CA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5BAE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EEDC0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7B91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37A76D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F43BB8"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3E3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94D9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1C5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4F1E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083B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1B2B29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E3B7A"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C663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A8D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79C7B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EF953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52606D"/>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C41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0F0AD9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96CD2"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08FB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5B6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8317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F6CE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1308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5DF3F5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0A3A4"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2BB7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6FC6B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70A3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F882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6B4B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C55058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D1623"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97256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823DB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6DE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8EE4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A27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6A6411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1551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B5AA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0C08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8015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86D2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139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F2FA45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C96E1"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5090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C95DB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C0FA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1C7B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7CB5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B39A30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157A1"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B9F2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2518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5BF3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6A4B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8A99C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190A6C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3057E6"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9054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C058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BEC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90EA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3F8E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41EB60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A4F9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C625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69C6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BA0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36E9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37A7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4BF375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9CB35"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5B7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EBD5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1B6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9D40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68E25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A002D1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AA606"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00E7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7E6B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1ABB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A4AE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8CFF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C5B49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DF7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2EC5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2305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5F0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A6BFC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8BA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90C24A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E961E"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1E7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E744D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8FF5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8838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A7A2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A1BC6B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6B3E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120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96D3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BED3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95AF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8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3576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EA8918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2D682"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C216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94C4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0D31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E8D7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15068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F1F21A7"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E4E1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E3B8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E0EE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8F30A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A43F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1F697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E841EB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AC887"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CBBA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FA0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F665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F6E48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A950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439FF9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A549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AC6BC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B008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31316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26C4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41C54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712197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E68A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23FC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E5EFC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CF6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D9F8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0DBC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086251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794C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3E9D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DC80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1E702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1854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3B2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054AAB78"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Lo que el cálculo no ve.</w:t>
      </w:r>
      <w:r>
        <w:rPr>
          <w:rFonts w:ascii="Calibri" w:hAnsi="Calibri" w:cs="Calibri"/>
          <w:color w:val="1F2933"/>
          <w:sz w:val="21"/>
          <w:szCs w:val="21"/>
        </w:rPr>
        <w:t xml:space="preserve"> Ninguna relación sin apoyo sale de las variables de este paquete.</w:t>
      </w:r>
    </w:p>
    <w:p w14:paraId="1CA0DD95"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Empate.</w:t>
      </w:r>
      <w:r>
        <w:rPr>
          <w:rFonts w:ascii="Calibri" w:hAnsi="Calibri" w:cs="Calibri"/>
          <w:color w:val="1F2933"/>
          <w:sz w:val="21"/>
          <w:szCs w:val="21"/>
        </w:rPr>
        <w:t xml:space="preserve"> Ninguno: es el único paquete con esa puntuación.</w:t>
      </w:r>
    </w:p>
    <w:p w14:paraId="62615F70"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Paquetes que le siguen con el mismo criterio:</w:t>
      </w:r>
    </w:p>
    <w:tbl>
      <w:tblPr>
        <w:tblW w:w="5000" w:type="pct"/>
        <w:tblCellMar>
          <w:top w:w="15" w:type="dxa"/>
          <w:left w:w="15" w:type="dxa"/>
          <w:bottom w:w="15" w:type="dxa"/>
          <w:right w:w="15" w:type="dxa"/>
        </w:tblCellMar>
        <w:tblLook w:val="04A0" w:firstRow="1" w:lastRow="0" w:firstColumn="1" w:lastColumn="0" w:noHBand="0" w:noVBand="1"/>
      </w:tblPr>
      <w:tblGrid>
        <w:gridCol w:w="861"/>
        <w:gridCol w:w="7458"/>
        <w:gridCol w:w="1147"/>
        <w:gridCol w:w="1291"/>
        <w:gridCol w:w="1147"/>
        <w:gridCol w:w="1291"/>
        <w:gridCol w:w="1147"/>
      </w:tblGrid>
      <w:tr w:rsidR="00000000" w14:paraId="0BFDFA07" w14:textId="77777777" w:rsidTr="00C27269">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97426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Puesto</w:t>
            </w:r>
          </w:p>
        </w:tc>
        <w:tc>
          <w:tcPr>
            <w:tcW w:w="2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DA2BEC"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D3EEC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7C0D4E"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vuelta en contra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1727FB"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6575F6"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6B5DE6"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perjuicio</w:t>
            </w:r>
          </w:p>
        </w:tc>
      </w:tr>
      <w:tr w:rsidR="00000000" w14:paraId="5732137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D9E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C26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A4FF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B0EB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1A8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A80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F0C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F86CAE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20AF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B387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81F07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1F64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179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CD1B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640F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3077723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3AA5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4B51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34FC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940E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B475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DA12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B9A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A9B9EA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6749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383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39B2A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7A5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177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41D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D3F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0ED208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21E8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8DCE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EE3B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22582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D330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C53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A0C7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60F8BBB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049E3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36D4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8C1D0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211D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B475A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133A4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AF73C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6D1A3F8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5ED9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9783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relajar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461AE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2842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14B88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76C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E49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FFABF0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310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B597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aplicar un recargo fiscal a la vivienda vacía;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4CA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25C1E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BED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26A8A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1C11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717EE6EC" w14:textId="77777777" w:rsidR="00C27269" w:rsidRDefault="00C27269">
      <w:pPr>
        <w:pStyle w:val="sello"/>
        <w:spacing w:before="0" w:beforeAutospacing="0" w:after="120" w:afterAutospacing="0"/>
        <w:rPr>
          <w:rFonts w:ascii="Calibri" w:hAnsi="Calibri" w:cs="Calibri"/>
        </w:rPr>
      </w:pPr>
      <w:r>
        <w:rPr>
          <w:rFonts w:ascii="Calibri" w:eastAsia="Times New Roman" w:hAnsi="Calibri" w:cs="Calibri"/>
          <w:color w:val="1F2933"/>
          <w:sz w:val="21"/>
          <w:szCs w:val="21"/>
        </w:rPr>
        <w:br w:type="page"/>
      </w:r>
      <w:r>
        <w:rPr>
          <w:rFonts w:ascii="Calibri" w:hAnsi="Calibri" w:cs="Calibri"/>
        </w:rPr>
        <w:t>NOTICIA SIMULADA · PAQUETE P2 · SOLO EVIDENCIA FIRME</w:t>
      </w:r>
    </w:p>
    <w:p w14:paraId="2C6DF036" w14:textId="77777777" w:rsidR="00C27269" w:rsidRDefault="00C27269">
      <w:pPr>
        <w:pStyle w:val="titular"/>
        <w:spacing w:before="0" w:beforeAutospacing="0"/>
        <w:rPr>
          <w:rFonts w:cs="Calibri"/>
        </w:rPr>
      </w:pPr>
      <w:r>
        <w:rPr>
          <w:rFonts w:cs="Calibri"/>
        </w:rPr>
        <w:t>Suelo más rápido e hipotecas más exigentes: seis mejoras sin ningún perjuicio con la evidencia más sólida</w:t>
      </w:r>
    </w:p>
    <w:p w14:paraId="10A5007E" w14:textId="77777777" w:rsidR="00C27269" w:rsidRDefault="00C27269">
      <w:pPr>
        <w:pStyle w:val="entradilla"/>
        <w:spacing w:before="0" w:beforeAutospacing="0"/>
        <w:rPr>
          <w:rFonts w:cs="Calibri"/>
        </w:rPr>
      </w:pPr>
      <w:r>
        <w:rPr>
          <w:rFonts w:cs="Calibri"/>
        </w:rPr>
        <w:t>Si solo se admiten relaciones de confianza media o alta y se exige que nada empeore, la combinación elegida es acortar los plazos urbanísticos y endurecer los criterios para conceder hipotecas.</w:t>
      </w:r>
    </w:p>
    <w:p w14:paraId="25109015" w14:textId="77777777" w:rsidR="00C27269" w:rsidRDefault="00C27269">
      <w:pPr>
        <w:spacing w:after="120"/>
        <w:divId w:val="863708496"/>
        <w:rPr>
          <w:rFonts w:ascii="Georgia" w:hAnsi="Georgia" w:cs="Calibri"/>
          <w:color w:val="1F2933"/>
          <w:sz w:val="21"/>
          <w:szCs w:val="21"/>
        </w:rPr>
      </w:pPr>
      <w:r>
        <w:rPr>
          <w:rFonts w:ascii="Georgia" w:hAnsi="Georgia" w:cs="Calibri"/>
          <w:color w:val="1F2933"/>
          <w:sz w:val="21"/>
          <w:szCs w:val="21"/>
        </w:rPr>
        <w:t>La lógica es actuar a la vez sobre la oferta y sobre el dinero que persigue las viviendas. La reforma del suelo aumenta las viviendas iniciadas y las terminadas y reduce el déficit. Criterios hipotecarios más exigentes reducen el crédito concedido y, con él, la presión sobre el precio de compra.</w:t>
      </w:r>
    </w:p>
    <w:p w14:paraId="077432D9" w14:textId="77777777" w:rsidR="00C27269" w:rsidRDefault="00C27269">
      <w:pPr>
        <w:spacing w:after="120"/>
        <w:divId w:val="863708496"/>
        <w:rPr>
          <w:rFonts w:ascii="Georgia" w:hAnsi="Georgia" w:cs="Calibri"/>
          <w:color w:val="1F2933"/>
          <w:sz w:val="21"/>
          <w:szCs w:val="21"/>
        </w:rPr>
      </w:pPr>
      <w:r>
        <w:rPr>
          <w:rFonts w:ascii="Georgia" w:hAnsi="Georgia" w:cs="Calibri"/>
          <w:color w:val="1F2933"/>
          <w:sz w:val="21"/>
          <w:szCs w:val="21"/>
        </w:rPr>
        <w:t>Con la evidencia firme mejoran seis resultados: el precio y el esfuerzo de compra, la rentabilidad bruta del alquiler, las viviendas iniciadas, las terminadas y el déficit acumulado. Ningún resultado empeora ni queda en disputa. Al añadir la evidencia débil son doce mejoras, sin perjuicios de primera ronda.</w:t>
      </w:r>
    </w:p>
    <w:p w14:paraId="0FCF71AC" w14:textId="77777777" w:rsidR="00C27269" w:rsidRDefault="00C27269">
      <w:pPr>
        <w:spacing w:after="120"/>
        <w:divId w:val="863708496"/>
        <w:rPr>
          <w:rFonts w:ascii="Georgia" w:hAnsi="Georgia" w:cs="Calibri"/>
          <w:color w:val="1F2933"/>
          <w:sz w:val="21"/>
          <w:szCs w:val="21"/>
        </w:rPr>
      </w:pPr>
      <w:r>
        <w:rPr>
          <w:rFonts w:ascii="Georgia" w:hAnsi="Georgia" w:cs="Calibri"/>
          <w:color w:val="1F2933"/>
          <w:sz w:val="21"/>
          <w:szCs w:val="21"/>
        </w:rPr>
        <w:t>El contexto pide cautela con la pieza hipotecaria. En 2025 se firmaron 498.429 hipotecas sobre vivienda, frente a 380.966 en 2023 (INE). La relación entre criterios y crédito está documentada para los años de la burbuja; el Banco de España y la banca sostienen que hoy el crédito no es la causa de la subida.</w:t>
      </w:r>
    </w:p>
    <w:p w14:paraId="244887DC" w14:textId="77777777" w:rsidR="00C27269" w:rsidRDefault="00C27269">
      <w:pPr>
        <w:spacing w:after="120"/>
        <w:divId w:val="863708496"/>
        <w:rPr>
          <w:rFonts w:ascii="Georgia" w:hAnsi="Georgia" w:cs="Calibri"/>
          <w:color w:val="1F2933"/>
          <w:sz w:val="21"/>
          <w:szCs w:val="21"/>
        </w:rPr>
      </w:pPr>
      <w:r>
        <w:rPr>
          <w:rFonts w:ascii="Georgia" w:hAnsi="Georgia" w:cs="Calibri"/>
          <w:color w:val="1F2933"/>
          <w:sz w:val="21"/>
          <w:szCs w:val="21"/>
        </w:rPr>
        <w:t>Con evidencia firme este plan no hace nada por quien alquila hoy ni por las personas vulnerables. Es el paquete más seguro y el que menos llega a quien tiene el problema más urgente.</w:t>
      </w:r>
    </w:p>
    <w:p w14:paraId="0D90DB7E"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De qué depende.</w:t>
      </w:r>
      <w:r>
        <w:rPr>
          <w:rFonts w:ascii="Calibri" w:hAnsi="Calibri" w:cs="Calibri"/>
          <w:color w:val="1F2933"/>
          <w:sz w:val="21"/>
          <w:szCs w:val="21"/>
        </w:rPr>
        <w:t xml:space="preserve"> Del supuesto de que la reforma acorta los plazos, y de que la relación entre crédito y precios observada en la burbuja siga valiendo hoy. El mapa no tiene una variable para quien queda fuera de una hipoteca más exigente, así que ese coste no puede aparecer en el recuento.</w:t>
      </w:r>
    </w:p>
    <w:p w14:paraId="094118B7"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Regla de selección.</w:t>
      </w:r>
      <w:r>
        <w:rPr>
          <w:rFonts w:ascii="Calibri" w:hAnsi="Calibri" w:cs="Calibri"/>
          <w:color w:val="1F2933"/>
          <w:sz w:val="21"/>
          <w:szCs w:val="21"/>
        </w:rPr>
        <w:t xml:space="preserve"> Usando solo relaciones de confianza media o alta: ningún resultado que empeore ni con señales contrarias en primera ronda; después, el mayor número de resultados que mejoran y menos efectos de vuelta en contra; para desempatar, menos perjuicios al añadir la evidencia débil y menos medidas.</w:t>
      </w:r>
    </w:p>
    <w:tbl>
      <w:tblPr>
        <w:tblW w:w="5000" w:type="pct"/>
        <w:tblCellMar>
          <w:top w:w="15" w:type="dxa"/>
          <w:left w:w="15" w:type="dxa"/>
          <w:bottom w:w="15" w:type="dxa"/>
          <w:right w:w="15" w:type="dxa"/>
        </w:tblCellMar>
        <w:tblLook w:val="04A0" w:firstRow="1" w:lastRow="0" w:firstColumn="1" w:lastColumn="0" w:noHBand="0" w:noVBand="1"/>
      </w:tblPr>
      <w:tblGrid>
        <w:gridCol w:w="6454"/>
        <w:gridCol w:w="3872"/>
        <w:gridCol w:w="4016"/>
      </w:tblGrid>
      <w:tr w:rsidR="00000000" w14:paraId="0F571820" w14:textId="77777777" w:rsidTr="00C27269">
        <w:tc>
          <w:tcPr>
            <w:tcW w:w="2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5DD0D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218FF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 del mapa y sentido</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9CB1A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Supuesto que añade</w:t>
            </w:r>
          </w:p>
        </w:tc>
      </w:tr>
      <w:tr w:rsidR="00000000" w14:paraId="68F653C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544A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7FAB5"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de los criterios hipotecarios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9E07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 es una variable de decisión del mapa.</w:t>
            </w:r>
          </w:p>
        </w:tc>
      </w:tr>
      <w:tr w:rsidR="00000000" w14:paraId="3F004BD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A06C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33E03" w14:textId="77777777" w:rsidR="00C27269" w:rsidRDefault="00C27269">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ECFA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Supone que una reforma administrativa acorta de verdad los plazos.</w:t>
            </w:r>
          </w:p>
        </w:tc>
      </w:tr>
    </w:tbl>
    <w:p w14:paraId="0969AC8E" w14:textId="77777777" w:rsidR="00C27269" w:rsidRDefault="00C27269">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2581"/>
        <w:gridCol w:w="4016"/>
        <w:gridCol w:w="1578"/>
        <w:gridCol w:w="2008"/>
        <w:gridCol w:w="2151"/>
        <w:gridCol w:w="2008"/>
      </w:tblGrid>
      <w:tr w:rsidR="00000000" w14:paraId="5D4B7DF8" w14:textId="77777777" w:rsidTr="00C27269">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0D8154"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2740C4"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EC837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7BFAB2"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4D345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 (a favor · en contra)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DCBD0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1A0A39E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C6C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F1FC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B3649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7F23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4FD2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FB54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03FC08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C86A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744F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D47F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F9EB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871E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57C5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8BE25E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A4B0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DC7D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7D9E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CF03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0BE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1A29B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A59486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09DA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DEDB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610B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FD6C3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D6B5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C085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2387FA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C4E72"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A44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140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4D87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60CC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9FCAE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F8FD5F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5DAD3"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88A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47AD5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0BF0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3DA88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7A20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002273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101C07"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1014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8C7E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A16F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04C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17E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B1FF41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A6480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654D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09DB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F03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2A51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5FD3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66837B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39FF3"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BEA5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DA0D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3A736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A815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0227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B81BE4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DDEDD"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BA2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21DB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EE7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E2DC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F3AD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F6AC61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E4241"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0668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9CAE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A61A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20EA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07F5B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0453F0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E8BA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7FF54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F0C74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19FA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E699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E6A4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8A1FF6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FA0EB"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D4C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FDA7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1D8D0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7DA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43B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D77022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02DF8"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060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888C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52AB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48D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95B0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AFA7F9E"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A52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5746A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D5DD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5C24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B922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208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4D62AD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FEA3DF"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162D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917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695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4532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6249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E1CE5D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560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2601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E4A9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3F9D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C143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18F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70A574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A97BB7"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BC7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FEB9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E8F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E75A1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8B6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E32242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21E9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1CA01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6310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2B20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3A48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AE8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98E7B9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21EF3"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8A13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93A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25E1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B0FF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FA58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A9C750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28559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8D78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2217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EEB2E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51F54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A6E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5B8228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1C5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4F831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546B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61B1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A27F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 </w:t>
            </w:r>
            <w:r>
              <w:rPr>
                <w:rFonts w:ascii="Calibri" w:eastAsia="Times New Roman" w:hAnsi="Calibri" w:cs="Calibri"/>
                <w:color w:val="C0562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AC8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0DF14F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12160C" w14:textId="77777777" w:rsidR="00C27269" w:rsidRDefault="00C27269">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4A54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4486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9EA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1AB6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 </w:t>
            </w:r>
            <w:r>
              <w:rPr>
                <w:rFonts w:ascii="Calibri" w:eastAsia="Times New Roman" w:hAnsi="Calibri" w:cs="Calibri"/>
                <w:color w:val="C05621"/>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AA88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1934E343"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Lo que el cálculo no ve.</w:t>
      </w:r>
      <w:r>
        <w:rPr>
          <w:rFonts w:ascii="Calibri" w:hAnsi="Calibri" w:cs="Calibri"/>
          <w:color w:val="1F2933"/>
          <w:sz w:val="21"/>
          <w:szCs w:val="21"/>
        </w:rPr>
        <w:t xml:space="preserve"> Ninguna relación sin apoyo sale de las variables de este paquete.</w:t>
      </w:r>
    </w:p>
    <w:p w14:paraId="1CFF4168"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Empate.</w:t>
      </w:r>
      <w:r>
        <w:rPr>
          <w:rFonts w:ascii="Calibri" w:hAnsi="Calibri" w:cs="Calibri"/>
          <w:color w:val="1F2933"/>
          <w:sz w:val="21"/>
          <w:szCs w:val="21"/>
        </w:rPr>
        <w:t xml:space="preserve"> Ninguno: es el único paquete con esa puntuación.</w:t>
      </w:r>
    </w:p>
    <w:p w14:paraId="077CF1E0" w14:textId="77777777" w:rsidR="00C27269" w:rsidRDefault="00C27269">
      <w:pPr>
        <w:pStyle w:val="NormalWeb"/>
        <w:rPr>
          <w:rFonts w:ascii="Calibri" w:hAnsi="Calibri" w:cs="Calibri"/>
          <w:color w:val="1F2933"/>
          <w:sz w:val="21"/>
          <w:szCs w:val="21"/>
        </w:rPr>
      </w:pPr>
      <w:r>
        <w:rPr>
          <w:rFonts w:ascii="Calibri" w:hAnsi="Calibri" w:cs="Calibri"/>
          <w:b/>
          <w:bCs/>
          <w:color w:val="1F2933"/>
          <w:sz w:val="21"/>
          <w:szCs w:val="21"/>
        </w:rPr>
        <w:t>Paquetes que le siguen con el mismo criterio:</w:t>
      </w:r>
    </w:p>
    <w:tbl>
      <w:tblPr>
        <w:tblW w:w="5000" w:type="pct"/>
        <w:tblCellMar>
          <w:top w:w="15" w:type="dxa"/>
          <w:left w:w="15" w:type="dxa"/>
          <w:bottom w:w="15" w:type="dxa"/>
          <w:right w:w="15" w:type="dxa"/>
        </w:tblCellMar>
        <w:tblLook w:val="04A0" w:firstRow="1" w:lastRow="0" w:firstColumn="1" w:lastColumn="0" w:noHBand="0" w:noVBand="1"/>
      </w:tblPr>
      <w:tblGrid>
        <w:gridCol w:w="861"/>
        <w:gridCol w:w="7458"/>
        <w:gridCol w:w="1147"/>
        <w:gridCol w:w="1291"/>
        <w:gridCol w:w="1147"/>
        <w:gridCol w:w="1291"/>
        <w:gridCol w:w="1147"/>
      </w:tblGrid>
      <w:tr w:rsidR="00000000" w14:paraId="57A90700" w14:textId="77777777" w:rsidTr="00C27269">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57CF9A"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Puesto</w:t>
            </w:r>
          </w:p>
        </w:tc>
        <w:tc>
          <w:tcPr>
            <w:tcW w:w="2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C42DB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1BDA5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A933EC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vuelta en contra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DC1AC2"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FB3C6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47F5B0"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perjuicio</w:t>
            </w:r>
          </w:p>
        </w:tc>
      </w:tr>
      <w:tr w:rsidR="00000000" w14:paraId="1E7F5D4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7E6F5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1CB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F5D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E083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6CEAE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BCAF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5A6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8823E1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A435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60C3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F68E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763D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E22B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E6D11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F0874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07CB7E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461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61DC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2BD0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9F4D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176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E7E8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9AC8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5BBD424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89C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84A96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 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4B9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11E3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0F29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7065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BD52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7568AE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4D3C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DF4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 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7DA9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97B3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C9CF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18EC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FF2E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3E8AA2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1BF21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438A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 pactar un periodo largo sin cambios en las reglas del alquiler;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DC7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0767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6C9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8B52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B73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575F005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424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96BC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 endurecer los criterios para conceder hipotecas; acortar los plazos de tramitación urbanística;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7FE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DF7C4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FD8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735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A1E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FDEE00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9CC5E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1D1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 endurecer los criterios para conceder hipotecas; acortar los plazos de tramitación urbanística; 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D52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714C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A1656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BB446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C218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444652C6" w14:textId="77777777" w:rsidR="00C27269" w:rsidRDefault="00C27269">
      <w:pPr>
        <w:pStyle w:val="Ttulo2"/>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Los mismos paquetes, vistos por su coste social y por personas</w:t>
      </w:r>
    </w:p>
    <w:tbl>
      <w:tblPr>
        <w:tblW w:w="5000" w:type="pct"/>
        <w:tblCellMar>
          <w:top w:w="15" w:type="dxa"/>
          <w:left w:w="15" w:type="dxa"/>
          <w:bottom w:w="15" w:type="dxa"/>
          <w:right w:w="15" w:type="dxa"/>
        </w:tblCellMar>
        <w:tblLook w:val="04A0" w:firstRow="1" w:lastRow="0" w:firstColumn="1" w:lastColumn="0" w:noHBand="0" w:noVBand="1"/>
      </w:tblPr>
      <w:tblGrid>
        <w:gridCol w:w="1864"/>
        <w:gridCol w:w="3872"/>
        <w:gridCol w:w="1291"/>
        <w:gridCol w:w="1147"/>
        <w:gridCol w:w="1147"/>
        <w:gridCol w:w="861"/>
        <w:gridCol w:w="1578"/>
        <w:gridCol w:w="2582"/>
      </w:tblGrid>
      <w:tr w:rsidR="00000000" w14:paraId="15B57744" w14:textId="77777777" w:rsidTr="00C27269">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8E2600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Paquete</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8ACE2C"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B1461D4"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F9AE9A"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AC0058"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9604DD"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345646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29C69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 fuera del objetivo (se informa, no puntúa)</w:t>
            </w:r>
          </w:p>
        </w:tc>
      </w:tr>
      <w:tr w:rsidR="00000000" w14:paraId="7473F9A7"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AD2A5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E461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49F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2559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DA091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CDB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B2D9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(5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0A2D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46E511C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3D7CE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E29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C1C4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6ABB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540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9E68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DD161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(2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55C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1F4D48D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74D0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270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 dotar a ayuntamientos y comunidades para alojar a las personas vulnerables en su barrio;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0A3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B2E1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540D6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4366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F93BB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(6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5551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r>
      <w:tr w:rsidR="00000000" w14:paraId="64E04D3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F330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530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9E43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4F5B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2535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48B8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A4A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F9BF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 Viviendas terminadas al año; Viviendas de uso turístico; Precio del alojamiento turístico; Déficit acumulado de viviendas</w:t>
            </w:r>
          </w:p>
        </w:tc>
      </w:tr>
      <w:tr w:rsidR="00000000" w14:paraId="5A9C7F3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E3C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5A85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endurecer los criterios para conceder hipotecas;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F7F7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F114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62B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A55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DDD72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(7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4B97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 Viviendas iniciadas al año; Viviendas terminadas al año; Déficit acumulado de viviendas</w:t>
            </w:r>
          </w:p>
        </w:tc>
      </w:tr>
      <w:tr w:rsidR="00000000" w14:paraId="1FCA59A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A6C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24C5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667A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3ACF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043A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5FF3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4DCF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(2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CC4E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 Viviendas terminadas al año; Déficit acumulado de viviendas</w:t>
            </w:r>
          </w:p>
        </w:tc>
      </w:tr>
      <w:tr w:rsidR="00000000" w14:paraId="2D154D0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D9C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5862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B9465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CDA0C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CB18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26DD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4CC8F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(5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783B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25395206" w14:textId="77777777" w:rsidR="00C27269" w:rsidRDefault="00C27269">
      <w:pPr>
        <w:pStyle w:val="NormalWeb"/>
        <w:rPr>
          <w:rFonts w:ascii="Calibri" w:hAnsi="Calibri" w:cs="Calibri"/>
          <w:color w:val="1F2933"/>
          <w:sz w:val="21"/>
          <w:szCs w:val="21"/>
        </w:rPr>
      </w:pPr>
      <w:r>
        <w:rPr>
          <w:rFonts w:ascii="Calibri" w:hAnsi="Calibri" w:cs="Calibri"/>
          <w:color w:val="1F2933"/>
          <w:sz w:val="21"/>
          <w:szCs w:val="21"/>
        </w:rPr>
        <w:t>Ponderado por las personas de cada grupo afectado. Es una simulación con una regla declarada: el índice va de −100 a +100 y no dice cuánto mejora nadie.</w:t>
      </w:r>
    </w:p>
    <w:tbl>
      <w:tblPr>
        <w:tblW w:w="5000" w:type="pct"/>
        <w:tblCellMar>
          <w:top w:w="15" w:type="dxa"/>
          <w:left w:w="15" w:type="dxa"/>
          <w:bottom w:w="15" w:type="dxa"/>
          <w:right w:w="15" w:type="dxa"/>
        </w:tblCellMar>
        <w:tblLook w:val="04A0" w:firstRow="1" w:lastRow="0" w:firstColumn="1" w:lastColumn="0" w:noHBand="0" w:noVBand="1"/>
      </w:tblPr>
      <w:tblGrid>
        <w:gridCol w:w="1579"/>
        <w:gridCol w:w="3586"/>
        <w:gridCol w:w="1864"/>
        <w:gridCol w:w="1864"/>
        <w:gridCol w:w="1864"/>
        <w:gridCol w:w="1291"/>
        <w:gridCol w:w="1147"/>
        <w:gridCol w:w="1147"/>
      </w:tblGrid>
      <w:tr w:rsidR="00000000" w14:paraId="65977344" w14:textId="77777777" w:rsidTr="00C27269">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0C7E68" w14:textId="77777777" w:rsidR="00C27269" w:rsidRDefault="00C27269">
            <w:pPr>
              <w:rPr>
                <w:rFonts w:ascii="Calibri" w:hAnsi="Calibri" w:cs="Calibri"/>
                <w:color w:val="1F2933"/>
                <w:sz w:val="21"/>
                <w:szCs w:val="21"/>
              </w:rPr>
            </w:pP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5A2789"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AB7EB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que viven de alquiler de mercado y no son pobres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2A464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pobres que viven de alquiler de mercado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D6999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de 18 a 34 años que viven con sus padres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CEE523"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por personas (−100 a +100)</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393ACB"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916332"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sin ponderar</w:t>
            </w:r>
          </w:p>
        </w:tc>
      </w:tr>
      <w:tr w:rsidR="00000000" w14:paraId="5C14CCA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DEC8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7649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B9AC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AE740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6FEC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9BD7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3735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FA5ED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02C1C30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FBC9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7BB05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82AD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0F11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2D0D6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6784A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9C86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9CBF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3CEBE69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64B62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C7CE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 dotar a ayuntamientos y comunidades para alojar a las personas vulnerables en su barrio; 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0F4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D180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8E674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D00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ED7C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919B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34172F07"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9B3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9589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8F84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A21B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D87B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B229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B92F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0D9F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r>
      <w:tr w:rsidR="00000000" w14:paraId="46D155E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73E5E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797E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endurecer los criterios para conceder hipotecas;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B29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FF58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CB6D8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3690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101B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BAC2D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3B1C42A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A11F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09C7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EF8E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FFCA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B7B3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3A9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53D10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61D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492BCE1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652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C4F9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5625A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0452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A95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FAA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8368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103C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bl>
    <w:p w14:paraId="308E943D" w14:textId="77777777" w:rsidR="00C27269" w:rsidRDefault="00C27269">
      <w:pPr>
        <w:pStyle w:val="Ttulo2"/>
        <w:rPr>
          <w:rFonts w:ascii="Calibri" w:eastAsia="Times New Roman" w:hAnsi="Calibri" w:cs="Calibri"/>
        </w:rPr>
      </w:pPr>
      <w:r>
        <w:rPr>
          <w:rFonts w:ascii="Calibri" w:eastAsia="Times New Roman" w:hAnsi="Calibri" w:cs="Calibri"/>
        </w:rPr>
        <w:t>Las cuatro medidas que motivaron el ejercicio</w:t>
      </w:r>
    </w:p>
    <w:p w14:paraId="68D9A500" w14:textId="77777777" w:rsidR="00C27269" w:rsidRDefault="00C27269">
      <w:pPr>
        <w:pStyle w:val="NormalWeb"/>
        <w:rPr>
          <w:rFonts w:ascii="Calibri" w:hAnsi="Calibri" w:cs="Calibri"/>
          <w:color w:val="1F2933"/>
          <w:sz w:val="21"/>
          <w:szCs w:val="21"/>
        </w:rPr>
      </w:pPr>
      <w:r>
        <w:rPr>
          <w:rFonts w:ascii="Calibri" w:hAnsi="Calibri" w:cs="Calibri"/>
          <w:color w:val="1F2933"/>
          <w:sz w:val="21"/>
          <w:szCs w:val="21"/>
        </w:rPr>
        <w:t>De las cuatro, la restricción del uso turístico entra en el paquete ganador, y la vivienda pública entra por la vía de la compra. La garantía de cobro al pequeño propietario y la dotación a los ayuntamientos empeoran algún resultado social en primera ronda, y la medida sobre la compra de edificios descansa en un supuesto.</w:t>
      </w:r>
    </w:p>
    <w:tbl>
      <w:tblPr>
        <w:tblW w:w="5000" w:type="pct"/>
        <w:tblCellMar>
          <w:top w:w="15" w:type="dxa"/>
          <w:left w:w="15" w:type="dxa"/>
          <w:bottom w:w="15" w:type="dxa"/>
          <w:right w:w="15" w:type="dxa"/>
        </w:tblCellMar>
        <w:tblLook w:val="04A0" w:firstRow="1" w:lastRow="0" w:firstColumn="1" w:lastColumn="0" w:noHBand="0" w:noVBand="1"/>
      </w:tblPr>
      <w:tblGrid>
        <w:gridCol w:w="4439"/>
        <w:gridCol w:w="1472"/>
        <w:gridCol w:w="1907"/>
        <w:gridCol w:w="1599"/>
        <w:gridCol w:w="1817"/>
        <w:gridCol w:w="2052"/>
        <w:gridCol w:w="1056"/>
      </w:tblGrid>
      <w:tr w:rsidR="00000000" w14:paraId="3EED1910" w14:textId="77777777" w:rsidTr="00C27269">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9BDDBA"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95CB2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 en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A0C72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efectos de vuelta en contra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042883"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 en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492F63E"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efectos de vuelta a favor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FD7B6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 ya en la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73A77D"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Sin vía con apoyo</w:t>
            </w:r>
          </w:p>
        </w:tc>
      </w:tr>
      <w:tr w:rsidR="00000000" w14:paraId="7FECB46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74C9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70EA4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9A2C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784F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4C0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DBDB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33EBD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6B10018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20E4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B075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4B7D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DB8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B266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FF5A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121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r>
      <w:tr w:rsidR="00000000" w14:paraId="6724001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838F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4E452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FD8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D6F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581A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ADCA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DF9A0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4C048D8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34EA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CA17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B8C4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15A2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C8C9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B6C4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36BD3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472EF79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6BC5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3AA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83402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11BE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D7E0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D43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CCA6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C3E26C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D91B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BA0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A118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3ED0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DB01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8B40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026D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6F0374EC"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3382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DF40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8864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4B07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73323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5AC93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61D6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D17557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986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85D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13EF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63C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0C13F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6517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0AD5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0EFA777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5EB0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85511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5B7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BED4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F9D18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6CA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E25B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7109E77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4CA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AA75C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591F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6E54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DD7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D5E4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613F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5FE31F4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0B0A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669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9559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D5665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3BAF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8B21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0592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55892DA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417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282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F637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7599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3F64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AE8A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BAA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0AA91459" w14:textId="77777777" w:rsidR="00C27269" w:rsidRDefault="00C27269">
      <w:pPr>
        <w:pStyle w:val="NormalWeb"/>
        <w:rPr>
          <w:rFonts w:ascii="Calibri" w:hAnsi="Calibri" w:cs="Calibri"/>
          <w:color w:val="1F2933"/>
          <w:sz w:val="21"/>
          <w:szCs w:val="21"/>
        </w:rPr>
      </w:pPr>
      <w:r>
        <w:rPr>
          <w:rFonts w:ascii="Calibri" w:hAnsi="Calibri" w:cs="Calibri"/>
          <w:color w:val="1F2933"/>
          <w:sz w:val="21"/>
          <w:szCs w:val="21"/>
        </w:rPr>
        <w:t>Los perjuicios no son un argumento para descartarlas: «empeora» no dice cuánto, y varios son el reverso de que la medida funcione. Lo que el cálculo dice es qué hay que vigilar o compensar en cada una.</w:t>
      </w:r>
    </w:p>
    <w:p w14:paraId="137E420C" w14:textId="77777777" w:rsidR="00C27269" w:rsidRDefault="00C27269">
      <w:pPr>
        <w:pStyle w:val="Ttulo2"/>
        <w:rPr>
          <w:rFonts w:ascii="Calibri" w:eastAsia="Times New Roman" w:hAnsi="Calibri" w:cs="Calibri"/>
        </w:rPr>
      </w:pPr>
      <w:r>
        <w:rPr>
          <w:rFonts w:ascii="Calibri" w:eastAsia="Times New Roman" w:hAnsi="Calibri" w:cs="Calibri"/>
        </w:rPr>
        <w:t>Cada medida por separado</w:t>
      </w:r>
    </w:p>
    <w:tbl>
      <w:tblPr>
        <w:tblW w:w="5000" w:type="pct"/>
        <w:tblCellMar>
          <w:top w:w="15" w:type="dxa"/>
          <w:left w:w="15" w:type="dxa"/>
          <w:bottom w:w="15" w:type="dxa"/>
          <w:right w:w="15" w:type="dxa"/>
        </w:tblCellMar>
        <w:tblLook w:val="04A0" w:firstRow="1" w:lastRow="0" w:firstColumn="1" w:lastColumn="0" w:noHBand="0" w:noVBand="1"/>
      </w:tblPr>
      <w:tblGrid>
        <w:gridCol w:w="5736"/>
        <w:gridCol w:w="1721"/>
        <w:gridCol w:w="1578"/>
        <w:gridCol w:w="1291"/>
        <w:gridCol w:w="1291"/>
        <w:gridCol w:w="1147"/>
        <w:gridCol w:w="1578"/>
      </w:tblGrid>
      <w:tr w:rsidR="00000000" w14:paraId="6F1E6D59" w14:textId="77777777" w:rsidTr="00C27269">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B8842C"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B38691"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3E48CF"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7C08C3"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68F95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31F937"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326375" w14:textId="77777777" w:rsidR="00C27269" w:rsidRDefault="00C27269">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r>
      <w:tr w:rsidR="00000000" w14:paraId="65993DB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5D44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CDB9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1142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B031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D7C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77587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99EA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0EAF3BE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0B04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D6783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FB91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B932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8E7D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3883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E68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CF28F5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9AA1B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3A4F7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7FA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0D72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B2C9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B72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FC9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136A2D9"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2F6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AB4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A72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8868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DA89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9372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63AB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6060A88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120CA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D9C1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D93A2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9AFC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A5B6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91A25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E8DC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C0C5C7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F5D6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20098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A14F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27BD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54D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5BC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DB2A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5C27C5B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3C48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7489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8584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FF8C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6F7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265F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335A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780D63D2"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840A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49A8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9543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0585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8ADA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9FF0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8E3F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50529FD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BB76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3BAE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536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E575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E0DF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B11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DF1C6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C421306"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CB134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AFADF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28DE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B1D0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5794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5A433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0F48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587C996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E08C3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6F2AC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C94BF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33E1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27EA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62B0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0BB07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3B5668B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68AD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D851C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762E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29A5D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CCB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315A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2006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4A83842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FC84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D85C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1CF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3E2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F54D9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DCA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4692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DC75F9D"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722E8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6FC0C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3033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DFDB1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476A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84C6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7835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07B4681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BDD8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D85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5AF0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D90DB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0F63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2347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43B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73D73EE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0A67E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063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15A0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6A31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AA0B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34DC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C24A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6472B348"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5507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3D3E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918B5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C0A2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D9FB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5998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80C78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CBD261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4CCA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CE03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26FE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3AD2A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0D25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26D3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4722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18A07AA"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6A9F2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8D63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DD7A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761A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E96BA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2C8F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5996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658F5EF3"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4CE0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7121D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intervencion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BDE2A"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6DFC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3AC0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CA25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C330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FEB2321"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A795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D585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41FC3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6575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01CB18"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948C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CA24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29B4EFDF"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AF742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76A0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BB6C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F020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C85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B8899B"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3F0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4D15E115"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2FB6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2890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clasificar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F0A9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25F5E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56AD6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71B2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8FBE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0676F654"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68B3A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BFE88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484FFF"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1B20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72F20"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7B924"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F65DB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98680A0"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49FC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166AC"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C87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60AE2"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C3AB1"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B49A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A9BC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4355BD5B" w14:textId="77777777" w:rsidTr="00C27269">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14C79"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DF8955"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477BE"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28326"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E1B73"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FF207"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4DBED" w14:textId="77777777" w:rsidR="00C27269" w:rsidRDefault="00C27269">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bl>
    <w:p w14:paraId="4B4E36FB" w14:textId="77777777" w:rsidR="00C27269" w:rsidRDefault="00C27269">
      <w:pPr>
        <w:pStyle w:val="Ttulo2"/>
        <w:rPr>
          <w:rFonts w:ascii="Calibri" w:eastAsia="Times New Roman" w:hAnsi="Calibri" w:cs="Calibri"/>
        </w:rPr>
      </w:pPr>
      <w:r>
        <w:rPr>
          <w:rFonts w:ascii="Calibri" w:eastAsia="Times New Roman" w:hAnsi="Calibri" w:cs="Calibri"/>
        </w:rPr>
        <w:t>Lo que estas propuestas no pueden afirmar</w:t>
      </w:r>
    </w:p>
    <w:p w14:paraId="12A01CBE"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Cuánto.</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Un resultado «mejora» si todas las vías de primera ronda empujan a su favor; puede ser una mejora grande o inapreciable.</w:t>
      </w:r>
    </w:p>
    <w:p w14:paraId="237B6B88"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Que la primera ronda domine.</w:t>
      </w:r>
      <w:r>
        <w:rPr>
          <w:rFonts w:ascii="Calibri" w:eastAsia="Times New Roman" w:hAnsi="Calibri" w:cs="Calibri"/>
          <w:color w:val="1F2933"/>
          <w:sz w:val="21"/>
          <w:szCs w:val="21"/>
        </w:rPr>
        <w:t xml:space="preserve"> Once de las catorce mejoras del primer paquete tienen efectos de vuelta en contra, y el mapa no dice si los compensan.</w:t>
      </w:r>
    </w:p>
    <w:p w14:paraId="50D91753"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Que el orden sea estable.</w:t>
      </w:r>
      <w:r>
        <w:rPr>
          <w:rFonts w:ascii="Calibri" w:eastAsia="Times New Roman" w:hAnsi="Calibri" w:cs="Calibri"/>
          <w:color w:val="1F2933"/>
          <w:sz w:val="21"/>
          <w:szCs w:val="21"/>
        </w:rPr>
        <w:t xml:space="preserve"> Al incorporar la literatura sobre fondos de inversión, dos medidas pasaron de saldo negativo a positivo. Una sola relación con fuente que aparezca o desaparezca mueve los recuentos.</w:t>
      </w:r>
    </w:p>
    <w:p w14:paraId="3360999A"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Cuánto ayuda la vivienda pública.</w:t>
      </w:r>
      <w:r>
        <w:rPr>
          <w:rFonts w:ascii="Calibri" w:eastAsia="Times New Roman" w:hAnsi="Calibri" w:cs="Calibri"/>
          <w:color w:val="1F2933"/>
          <w:sz w:val="21"/>
          <w:szCs w:val="21"/>
        </w:rPr>
        <w:t xml:space="preserve"> Está medido que mejora a quien la recibe; no cuánto mejora el conjunto por cada vivienda añadida. Por eso su saldo aislado es modesto.</w:t>
      </w:r>
    </w:p>
    <w:p w14:paraId="1BF1899B"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Casi nada sobre estudiantes y residentes temporales.</w:t>
      </w:r>
    </w:p>
    <w:p w14:paraId="1C38BEED" w14:textId="77777777" w:rsidR="00C27269" w:rsidRDefault="00C27269">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Qué es «mejor para todos».</w:t>
      </w:r>
      <w:r>
        <w:rPr>
          <w:rFonts w:ascii="Calibri" w:eastAsia="Times New Roman" w:hAnsi="Calibri" w:cs="Calibri"/>
          <w:color w:val="1F2933"/>
          <w:sz w:val="21"/>
          <w:szCs w:val="21"/>
        </w:rPr>
        <w:t xml:space="preserve"> Los criterios son una elección. El de menor coste social es el del decisor; con otros ganan otros paquetes.</w:t>
      </w:r>
    </w:p>
    <w:sectPr w:rsidR="00000000" w:rsidSect="00C27269">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4233F"/>
    <w:multiLevelType w:val="multilevel"/>
    <w:tmpl w:val="A4E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45D64"/>
    <w:multiLevelType w:val="multilevel"/>
    <w:tmpl w:val="31D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1381A"/>
    <w:multiLevelType w:val="multilevel"/>
    <w:tmpl w:val="E4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95190"/>
    <w:multiLevelType w:val="multilevel"/>
    <w:tmpl w:val="A7B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86C6D"/>
    <w:multiLevelType w:val="multilevel"/>
    <w:tmpl w:val="AEFA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F5249"/>
    <w:multiLevelType w:val="multilevel"/>
    <w:tmpl w:val="F7E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934B2"/>
    <w:multiLevelType w:val="multilevel"/>
    <w:tmpl w:val="9A1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B00DE"/>
    <w:multiLevelType w:val="multilevel"/>
    <w:tmpl w:val="D56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54979">
    <w:abstractNumId w:val="6"/>
  </w:num>
  <w:num w:numId="2" w16cid:durableId="1103111022">
    <w:abstractNumId w:val="4"/>
  </w:num>
  <w:num w:numId="3" w16cid:durableId="712920456">
    <w:abstractNumId w:val="7"/>
  </w:num>
  <w:num w:numId="4" w16cid:durableId="700280520">
    <w:abstractNumId w:val="1"/>
  </w:num>
  <w:num w:numId="5" w16cid:durableId="136338632">
    <w:abstractNumId w:val="2"/>
  </w:num>
  <w:num w:numId="6" w16cid:durableId="903757696">
    <w:abstractNumId w:val="0"/>
  </w:num>
  <w:num w:numId="7" w16cid:durableId="1191601328">
    <w:abstractNumId w:val="5"/>
  </w:num>
  <w:num w:numId="8" w16cid:durableId="1518080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7269"/>
    <w:rsid w:val="003A5EE1"/>
    <w:rsid w:val="00C272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B8261"/>
  <w15:chartTrackingRefBased/>
  <w15:docId w15:val="{5EBA38F2-F010-4187-AD81-C0843FD1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noticia">
    <w:name w:val="noticia"/>
    <w:basedOn w:val="Normal"/>
    <w:pPr>
      <w:pBdr>
        <w:top w:val="single" w:sz="18" w:space="6" w:color="12355B"/>
      </w:pBdr>
      <w:spacing w:before="280" w:after="100" w:afterAutospacing="1"/>
    </w:pPr>
  </w:style>
  <w:style w:type="paragraph" w:customStyle="1" w:styleId="sello">
    <w:name w:val="sello"/>
    <w:basedOn w:val="Normal"/>
    <w:pPr>
      <w:spacing w:before="100" w:beforeAutospacing="1" w:after="100" w:afterAutospacing="1"/>
    </w:pPr>
    <w:rPr>
      <w:b/>
      <w:bCs/>
      <w:color w:val="B7791F"/>
      <w:spacing w:val="20"/>
      <w:sz w:val="17"/>
      <w:szCs w:val="17"/>
    </w:rPr>
  </w:style>
  <w:style w:type="paragraph" w:customStyle="1" w:styleId="titular">
    <w:name w:val="titular"/>
    <w:basedOn w:val="Normal"/>
    <w:pPr>
      <w:spacing w:before="100" w:beforeAutospacing="1" w:after="80"/>
    </w:pPr>
    <w:rPr>
      <w:rFonts w:ascii="Georgia" w:hAnsi="Georgia"/>
      <w:b/>
      <w:bCs/>
      <w:color w:val="102A43"/>
      <w:sz w:val="40"/>
      <w:szCs w:val="40"/>
    </w:rPr>
  </w:style>
  <w:style w:type="paragraph" w:customStyle="1" w:styleId="entradilla">
    <w:name w:val="entradilla"/>
    <w:basedOn w:val="Normal"/>
    <w:pPr>
      <w:spacing w:before="100" w:beforeAutospacing="1" w:after="160"/>
    </w:pPr>
    <w:rPr>
      <w:rFonts w:ascii="Georgia" w:hAnsi="Georgia"/>
      <w:color w:val="334E68"/>
    </w:rPr>
  </w:style>
  <w:style w:type="paragraph" w:customStyle="1" w:styleId="pie">
    <w:name w:val="pie"/>
    <w:basedOn w:val="Normal"/>
    <w:pPr>
      <w:spacing w:before="100" w:beforeAutospacing="1" w:after="100" w:afterAutospacing="1"/>
    </w:pPr>
    <w:rPr>
      <w:color w:val="52606D"/>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788288">
      <w:marLeft w:val="0"/>
      <w:marRight w:val="0"/>
      <w:marTop w:val="0"/>
      <w:marBottom w:val="180"/>
      <w:divBdr>
        <w:top w:val="single" w:sz="6" w:space="6" w:color="1F5A8A"/>
        <w:left w:val="single" w:sz="6" w:space="8" w:color="1F5A8A"/>
        <w:bottom w:val="single" w:sz="6" w:space="6" w:color="1F5A8A"/>
        <w:right w:val="single" w:sz="6" w:space="8" w:color="1F5A8A"/>
      </w:divBdr>
    </w:div>
    <w:div w:id="863708496">
      <w:marLeft w:val="0"/>
      <w:marRight w:val="0"/>
      <w:marTop w:val="0"/>
      <w:marBottom w:val="0"/>
      <w:divBdr>
        <w:top w:val="none" w:sz="0" w:space="0" w:color="auto"/>
        <w:left w:val="none" w:sz="0" w:space="0" w:color="auto"/>
        <w:bottom w:val="none" w:sz="0" w:space="0" w:color="auto"/>
        <w:right w:val="none" w:sz="0" w:space="0" w:color="auto"/>
      </w:divBdr>
    </w:div>
    <w:div w:id="1024405637">
      <w:marLeft w:val="0"/>
      <w:marRight w:val="0"/>
      <w:marTop w:val="0"/>
      <w:marBottom w:val="0"/>
      <w:divBdr>
        <w:top w:val="none" w:sz="0" w:space="0" w:color="auto"/>
        <w:left w:val="none" w:sz="0" w:space="0" w:color="auto"/>
        <w:bottom w:val="none" w:sz="0" w:space="0" w:color="auto"/>
        <w:right w:val="none" w:sz="0" w:space="0" w:color="auto"/>
      </w:divBdr>
    </w:div>
    <w:div w:id="1939750645">
      <w:marLeft w:val="0"/>
      <w:marRight w:val="0"/>
      <w:marTop w:val="280"/>
      <w:marBottom w:val="0"/>
      <w:divBdr>
        <w:top w:val="single" w:sz="18" w:space="6" w:color="12355B"/>
        <w:left w:val="none" w:sz="0" w:space="0" w:color="auto"/>
        <w:bottom w:val="none" w:sz="0" w:space="0" w:color="auto"/>
        <w:right w:val="none" w:sz="0" w:space="0" w:color="auto"/>
      </w:divBdr>
      <w:divsChild>
        <w:div w:id="689645260">
          <w:marLeft w:val="0"/>
          <w:marRight w:val="0"/>
          <w:marTop w:val="0"/>
          <w:marBottom w:val="0"/>
          <w:divBdr>
            <w:top w:val="none" w:sz="0" w:space="0" w:color="auto"/>
            <w:left w:val="none" w:sz="0" w:space="0" w:color="auto"/>
            <w:bottom w:val="none" w:sz="0" w:space="0" w:color="auto"/>
            <w:right w:val="none" w:sz="0" w:space="0" w:color="auto"/>
          </w:divBdr>
        </w:div>
      </w:divsChild>
    </w:div>
    <w:div w:id="2012415758">
      <w:marLeft w:val="0"/>
      <w:marRight w:val="0"/>
      <w:marTop w:val="0"/>
      <w:marBottom w:val="180"/>
      <w:divBdr>
        <w:top w:val="single" w:sz="6" w:space="6" w:color="B7791F"/>
        <w:left w:val="single" w:sz="6" w:space="8" w:color="B7791F"/>
        <w:bottom w:val="single" w:sz="6" w:space="6" w:color="B7791F"/>
        <w:right w:val="single" w:sz="6" w:space="8" w:color="B7791F"/>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5184</Words>
  <Characters>28518</Characters>
  <Application>Microsoft Office Word</Application>
  <DocSecurity>4</DocSecurity>
  <Lines>237</Lines>
  <Paragraphs>67</Paragraphs>
  <ScaleCrop>false</ScaleCrop>
  <Company/>
  <LinksUpToDate>false</LinksUpToDate>
  <CharactersWithSpaces>33635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Vivienda: propuestas</dc:title>
  <dc:subject/>
  <dc:creator>Juan  Siria racero</dc:creator>
  <cp:keywords/>
  <dc:description/>
  <cp:lastModifiedBy>Juan  Siria racero</cp:lastModifiedBy>
  <cp:revision>2</cp:revision>
  <dcterms:created xsi:type="dcterms:W3CDTF">2026-10-12T10:33:00Z</dcterms:created>
  <dcterms:modified xsi:type="dcterms:W3CDTF">2026-10-12T10:33:00Z</dcterms:modified>
</cp:coreProperties>
</file>