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CD7AA" w14:textId="77777777" w:rsidR="007B4858" w:rsidRDefault="007B4858">
      <w:pPr>
        <w:pStyle w:val="Ttulo1"/>
        <w:rPr>
          <w:rFonts w:ascii="Calibri" w:eastAsia="Times New Roman" w:hAnsi="Calibri" w:cs="Calibri"/>
        </w:rPr>
      </w:pPr>
      <w:r>
        <w:rPr>
          <w:rFonts w:ascii="Calibri" w:eastAsia="Times New Roman" w:hAnsi="Calibri" w:cs="Calibri"/>
        </w:rPr>
        <w:t>Vivienda en España: cómo bajar el dolor</w:t>
      </w:r>
    </w:p>
    <w:p w14:paraId="7BAA6980" w14:textId="77777777" w:rsidR="007B4858" w:rsidRDefault="007B4858">
      <w:pPr>
        <w:pStyle w:val="entradilla"/>
        <w:spacing w:before="0" w:beforeAutospacing="0"/>
        <w:rPr>
          <w:rFonts w:cs="Calibri"/>
        </w:rPr>
      </w:pPr>
      <w:r>
        <w:rPr>
          <w:rFonts w:cs="Calibri"/>
        </w:rPr>
        <w:t>Lo que dicen los datos cuando se miran enteros, y siete ideas que se pueden defender sin pertenecer a ningún bando</w:t>
      </w:r>
    </w:p>
    <w:p w14:paraId="539E3E0C" w14:textId="77777777" w:rsidR="007B4858" w:rsidRDefault="007B4858">
      <w:pPr>
        <w:pStyle w:val="pie"/>
        <w:spacing w:before="0" w:beforeAutospacing="0" w:after="120" w:afterAutospacing="0"/>
        <w:rPr>
          <w:rFonts w:ascii="Calibri" w:hAnsi="Calibri" w:cs="Calibri"/>
        </w:rPr>
      </w:pPr>
      <w:r>
        <w:rPr>
          <w:rFonts w:ascii="Calibri" w:hAnsi="Calibri" w:cs="Calibri"/>
        </w:rPr>
        <w:t>Juan Carlos Siria · Proyecto SOIH · Borrador de 12 de octubre de 2026</w:t>
      </w:r>
    </w:p>
    <w:p w14:paraId="78BF3796" w14:textId="77777777" w:rsidR="007B4858" w:rsidRDefault="007B4858">
      <w:pPr>
        <w:shd w:val="clear" w:color="auto" w:fill="EAF2F8"/>
        <w:divId w:val="816146198"/>
        <w:rPr>
          <w:rFonts w:ascii="Calibri" w:eastAsia="Times New Roman" w:hAnsi="Calibri" w:cs="Calibri"/>
          <w:color w:val="1F2933"/>
          <w:sz w:val="21"/>
          <w:szCs w:val="21"/>
        </w:rPr>
      </w:pPr>
      <w:r>
        <w:rPr>
          <w:rFonts w:ascii="Calibri" w:eastAsia="Times New Roman" w:hAnsi="Calibri" w:cs="Calibri"/>
          <w:b/>
          <w:bCs/>
          <w:color w:val="1F2933"/>
          <w:sz w:val="21"/>
          <w:szCs w:val="21"/>
        </w:rPr>
        <w:t>Resumen.</w:t>
      </w:r>
      <w:r>
        <w:rPr>
          <w:rFonts w:ascii="Calibri" w:eastAsia="Times New Roman" w:hAnsi="Calibri" w:cs="Calibri"/>
          <w:color w:val="1F2933"/>
          <w:sz w:val="21"/>
          <w:szCs w:val="21"/>
        </w:rPr>
        <w:t xml:space="preserve"> El debate sobre la vivienda enfrenta a quien dice que falta construir, a quien dice que todo es especulación y a quien culpa al turismo o a la inmigración. Este trabajo reúne 266 cifras, cada una con su fuente, y varias decenas de estudios en un mapa de causas y efectos, y pregunta qué medidas reducen el daño a las personas, no cuáles benefician a quien ofrece vivienda. Tres resultados. Primero, el daño ha cambiado de sitio: quien ya tiene contrato de alquiler está mejor que en 2015, y quien quiere entrar </w:t>
      </w:r>
      <w:r>
        <w:rPr>
          <w:rFonts w:ascii="Calibri" w:eastAsia="Times New Roman" w:hAnsi="Calibri" w:cs="Calibri"/>
          <w:color w:val="1F2933"/>
          <w:sz w:val="21"/>
          <w:szCs w:val="21"/>
        </w:rPr>
        <w:t>está mucho peor. Segundo, la medida con mejor respaldo es restringir el uso turístico de la vivienda, y la peor, liberalizarlo. Tercero, ninguna receta pura gana: ni solo regular ni solo dejar hacer. Lo que mejor resulta es una mezcla, y la única pieza que aparece siempre es limitar el uso turístico.</w:t>
      </w:r>
    </w:p>
    <w:p w14:paraId="5AC45E8A" w14:textId="77777777" w:rsidR="007B4858" w:rsidRDefault="007B4858">
      <w:pPr>
        <w:pStyle w:val="Ttulo2"/>
        <w:rPr>
          <w:rFonts w:ascii="Calibri" w:eastAsia="Times New Roman" w:hAnsi="Calibri" w:cs="Calibri"/>
        </w:rPr>
      </w:pPr>
      <w:r>
        <w:rPr>
          <w:rFonts w:ascii="Calibri" w:eastAsia="Times New Roman" w:hAnsi="Calibri" w:cs="Calibri"/>
        </w:rPr>
        <w:t>1. La pregunta</w:t>
      </w:r>
    </w:p>
    <w:p w14:paraId="3A6BC773"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 xml:space="preserve">No se pregunta aquí cómo hacer que el mercado de la vivienda funcione mejor, sino otra cosa: </w:t>
      </w:r>
      <w:r>
        <w:rPr>
          <w:rFonts w:ascii="Calibri" w:hAnsi="Calibri" w:cs="Calibri"/>
          <w:b/>
          <w:bCs/>
          <w:color w:val="1F2933"/>
          <w:sz w:val="21"/>
          <w:szCs w:val="21"/>
        </w:rPr>
        <w:t>qué hace que más personas vivan con dignidad y con tranquilidad</w:t>
      </w:r>
      <w:r>
        <w:rPr>
          <w:rFonts w:ascii="Calibri" w:hAnsi="Calibri" w:cs="Calibri"/>
          <w:color w:val="1F2933"/>
          <w:sz w:val="21"/>
          <w:szCs w:val="21"/>
        </w:rPr>
        <w:t>. La diferencia importa. Con la primera pregunta, que los alquileres suban es una señal para construir. Con la segunda, es un hogar que no llega a fin de mes, un joven que no se va de casa o una familia que comparte piso con otra.</w:t>
      </w:r>
    </w:p>
    <w:p w14:paraId="53CF4F28"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El punto de partida era una sospecha: que para lograrlo hay que intervenir el mercado y no dejarlo solo. Una sospecha no es un resultado, así que se ha puesto a prueba. En parte se confirma y en parte no.</w:t>
      </w:r>
    </w:p>
    <w:p w14:paraId="531C9D34" w14:textId="77777777" w:rsidR="007B4858" w:rsidRDefault="007B4858">
      <w:pPr>
        <w:pStyle w:val="Ttulo2"/>
        <w:rPr>
          <w:rFonts w:ascii="Calibri" w:eastAsia="Times New Roman" w:hAnsi="Calibri" w:cs="Calibri"/>
        </w:rPr>
      </w:pPr>
      <w:r>
        <w:rPr>
          <w:rFonts w:ascii="Calibri" w:eastAsia="Times New Roman" w:hAnsi="Calibri" w:cs="Calibri"/>
        </w:rPr>
        <w:t>2. Cómo se ha hecho, en pocas palabras</w:t>
      </w:r>
    </w:p>
    <w:p w14:paraId="0BC7AE68" w14:textId="77777777" w:rsidR="007B4858" w:rsidRDefault="007B4858">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Un mapa de causas y efectos.</w:t>
      </w:r>
      <w:r>
        <w:rPr>
          <w:rFonts w:ascii="Calibri" w:eastAsia="Times New Roman" w:hAnsi="Calibri" w:cs="Calibri"/>
          <w:color w:val="1F2933"/>
          <w:sz w:val="21"/>
          <w:szCs w:val="21"/>
        </w:rPr>
        <w:t xml:space="preserve"> 97 factores (precios, oferta, salarios, turismo, inmigración, leyes) unidos por flechas del tipo «si esto sube, aquello baja».</w:t>
      </w:r>
    </w:p>
    <w:p w14:paraId="067A8F72" w14:textId="77777777" w:rsidR="007B4858" w:rsidRDefault="007B4858">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Solo cuenta lo que tiene fuente.</w:t>
      </w:r>
      <w:r>
        <w:rPr>
          <w:rFonts w:ascii="Calibri" w:eastAsia="Times New Roman" w:hAnsi="Calibri" w:cs="Calibri"/>
          <w:color w:val="1F2933"/>
          <w:sz w:val="21"/>
          <w:szCs w:val="21"/>
        </w:rPr>
        <w:t xml:space="preserve"> Cada flecha necesita un dato oficial, un estudio o que la afirmen actores de bandos distintos. Lo que solo es plausible se aparta y no se usa. Hoy hay 117 flechas con respaldo y 37 apartadas.</w:t>
      </w:r>
    </w:p>
    <w:p w14:paraId="26DDBCB7" w14:textId="77777777" w:rsidR="007B4858" w:rsidRDefault="007B4858">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Se prueban todas las combinaciones.</w:t>
      </w:r>
      <w:r>
        <w:rPr>
          <w:rFonts w:ascii="Calibri" w:eastAsia="Times New Roman" w:hAnsi="Calibri" w:cs="Calibri"/>
          <w:color w:val="1F2933"/>
          <w:sz w:val="21"/>
          <w:szCs w:val="21"/>
        </w:rPr>
        <w:t xml:space="preserve"> Un programa calcula qué ocurre con cada una de las 61466 combinaciones posibles de hasta cinco medidas, y cuenta cuántos de quince resultados que importan a las personas mejoran y cuántos empeoran.</w:t>
      </w:r>
    </w:p>
    <w:p w14:paraId="239D8A14" w14:textId="77777777" w:rsidR="007B4858" w:rsidRDefault="007B4858">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Dice hacia dónde, no cuánto.</w:t>
      </w:r>
      <w:r>
        <w:rPr>
          <w:rFonts w:ascii="Calibri" w:eastAsia="Times New Roman" w:hAnsi="Calibri" w:cs="Calibri"/>
          <w:color w:val="1F2933"/>
          <w:sz w:val="21"/>
          <w:szCs w:val="21"/>
        </w:rPr>
        <w:t xml:space="preserve"> El mapa indica si una medida empuja un resultado a mejor o a peor, y en qué plazo. No dice si mucho o poco. Es su límite principal y conviene tenerlo presente en todo lo que sigue.</w:t>
      </w:r>
    </w:p>
    <w:p w14:paraId="6DC6F3AF" w14:textId="77777777" w:rsidR="007B4858" w:rsidRDefault="007B4858">
      <w:pPr>
        <w:pStyle w:val="Ttulo2"/>
        <w:rPr>
          <w:rFonts w:ascii="Calibri" w:eastAsia="Times New Roman" w:hAnsi="Calibri" w:cs="Calibri"/>
        </w:rPr>
      </w:pPr>
      <w:r>
        <w:rPr>
          <w:rFonts w:ascii="Calibri" w:eastAsia="Times New Roman" w:hAnsi="Calibri" w:cs="Calibri"/>
        </w:rPr>
        <w:t>3. Lo que muestran los datos</w:t>
      </w:r>
    </w:p>
    <w:p w14:paraId="047F794A" w14:textId="77777777" w:rsidR="007B4858" w:rsidRDefault="007B4858">
      <w:pPr>
        <w:pStyle w:val="Ttulo3"/>
        <w:rPr>
          <w:rFonts w:ascii="Calibri" w:eastAsia="Times New Roman" w:hAnsi="Calibri" w:cs="Calibri"/>
        </w:rPr>
      </w:pPr>
      <w:r>
        <w:rPr>
          <w:rFonts w:ascii="Calibri" w:eastAsia="Times New Roman" w:hAnsi="Calibri" w:cs="Calibri"/>
        </w:rPr>
        <w:t>Hay dos mercados de alquiler, no uno</w:t>
      </w:r>
    </w:p>
    <w:p w14:paraId="295CB0F9"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Quien ya tiene contrato ha mejorado. En 2021 el alquiler se llevaba el 33,1 % de la renta de los inquilinos; en 2025, el 26,7 %. Los contratos vivos han subido más o menos como los precios, y los salarios más bajos han subido bastante más: un 48 % entre 2018 y 2024 para la décima parte que menos gana.</w:t>
      </w:r>
    </w:p>
    <w:p w14:paraId="63FE16EC"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 xml:space="preserve">Quien busca piso se encuentra otra cosa. Las viviendas que salen al mercado cuestan un 16,5 % más que las ya alquiladas; en 2020 la diferencia era del 6,2 %. La salida ha sido compartir o no irse: </w:t>
      </w:r>
      <w:r>
        <w:rPr>
          <w:rFonts w:ascii="Calibri" w:hAnsi="Calibri" w:cs="Calibri"/>
          <w:color w:val="1F2933"/>
          <w:sz w:val="21"/>
          <w:szCs w:val="21"/>
        </w:rPr>
        <w:lastRenderedPageBreak/>
        <w:t>los inquilinos que viven en pisos con más gente de la que cabe pasan del 15,4 % al 20,5 % en cuatro años, y los jóvenes de 18 a 34 años que viven con sus padres, del 58,0 % en 2015 al 68,7 %.</w:t>
      </w:r>
    </w:p>
    <w:p w14:paraId="25C24D1A"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Por eso las dos frases que se oyen son ciertas a la vez. «El esfuerzo de los inquilinos baja» describe a los de dentro. «La vivienda es inaccesible» describe a los de fuera. El índice que resume nueve indicadores oficiales lo muestra así (2015 = 100; más alto es peor):</w:t>
      </w:r>
    </w:p>
    <w:tbl>
      <w:tblPr>
        <w:tblW w:w="5000" w:type="pct"/>
        <w:tblCellMar>
          <w:top w:w="15" w:type="dxa"/>
          <w:left w:w="15" w:type="dxa"/>
          <w:bottom w:w="15" w:type="dxa"/>
          <w:right w:w="15" w:type="dxa"/>
        </w:tblCellMar>
        <w:tblLook w:val="04A0" w:firstRow="1" w:lastRow="0" w:firstColumn="1" w:lastColumn="0" w:noHBand="0" w:noVBand="1"/>
      </w:tblPr>
      <w:tblGrid>
        <w:gridCol w:w="5737"/>
        <w:gridCol w:w="1721"/>
        <w:gridCol w:w="1721"/>
        <w:gridCol w:w="1721"/>
        <w:gridCol w:w="1721"/>
        <w:gridCol w:w="1721"/>
      </w:tblGrid>
      <w:tr w:rsidR="00000000" w14:paraId="4DBF698A" w14:textId="77777777" w:rsidTr="007B4858">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14B178" w14:textId="77777777" w:rsidR="007B4858" w:rsidRDefault="007B4858">
            <w:pPr>
              <w:rPr>
                <w:rFonts w:ascii="Calibri" w:hAnsi="Calibri" w:cs="Calibri"/>
                <w:color w:val="1F2933"/>
                <w:sz w:val="21"/>
                <w:szCs w:val="21"/>
              </w:rPr>
            </w:pP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E905F5"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967F23"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C985AB8"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2021</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DD5274"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B13807"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003A5D76"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0BCDB"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 Quien ya alquila: lo que pesa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A02B7"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6E233"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88,7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08F74"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97,8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8C0F35"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77,4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05BB0"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71,4</w:t>
            </w:r>
          </w:p>
        </w:tc>
      </w:tr>
      <w:tr w:rsidR="00000000" w14:paraId="0335845C"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202845"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 Quien no entra, o entra compartiendo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5C5F2"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7A5D6"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120,8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1E32E"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121,9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5066C"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135,0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4253E"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155,9</w:t>
            </w:r>
          </w:p>
        </w:tc>
      </w:tr>
      <w:tr w:rsidR="00000000" w14:paraId="1DE928C7"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35FD1"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III. Hogares frágiles: mayores pobres, personas solas, monoparentales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F96B7"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E5C764"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81,4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F2A2A"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130C6"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D8F985"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90,3</w:t>
            </w:r>
          </w:p>
        </w:tc>
      </w:tr>
      <w:tr w:rsidR="00000000" w14:paraId="0349CE9B"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CE1C62"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Índice de sostenibilidad social</w:t>
            </w:r>
            <w:r>
              <w:rPr>
                <w:rFonts w:ascii="Calibri" w:eastAsia="Times New Roman" w:hAnsi="Calibri" w:cs="Calibri"/>
                <w:color w:val="1F2933"/>
                <w:sz w:val="18"/>
                <w:szCs w:val="18"/>
              </w:rPr>
              <w:t xml:space="preserve"> (media de los tres)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239705"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5763A"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57FFD"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BBDC7C"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65723"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105,9</w:t>
            </w:r>
          </w:p>
        </w:tc>
      </w:tr>
    </w:tbl>
    <w:p w14:paraId="4187D192"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El número de abajo casi no se mueve y no dice nada. Los de arriba cuentan la historia: el daño ha pasado de «pagar demasiado» a «no poder entrar» y «vivir apretado».</w:t>
      </w:r>
    </w:p>
    <w:p w14:paraId="127FAFE7" w14:textId="77777777" w:rsidR="007B4858" w:rsidRDefault="007B4858">
      <w:pPr>
        <w:pStyle w:val="Ttulo3"/>
        <w:rPr>
          <w:rFonts w:ascii="Calibri" w:eastAsia="Times New Roman" w:hAnsi="Calibri" w:cs="Calibri"/>
        </w:rPr>
      </w:pPr>
      <w:r>
        <w:rPr>
          <w:rFonts w:ascii="Calibri" w:eastAsia="Times New Roman" w:hAnsi="Calibri" w:cs="Calibri"/>
        </w:rPr>
        <w:t>Es, sobre todo, una cuestión de edad</w:t>
      </w:r>
    </w:p>
    <w:p w14:paraId="478BDD93"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Entre los hogares de 30 a 44 años, los que son propietarios caen del 74,3 % en 2007 al 53,1 % en 2025, y los que alquilan a precio de mercado se duplican. Entre los mayores de 65 casi nada cambia: el 88 % es propietario. Los salarios de los jóvenes han subido más que la media, también descontando la inflación. No ganan menos que hace diez años: les cuesta mucho más entrar.</w:t>
      </w:r>
    </w:p>
    <w:p w14:paraId="5BC03421" w14:textId="77777777" w:rsidR="007B4858" w:rsidRDefault="007B4858">
      <w:pPr>
        <w:pStyle w:val="Ttulo3"/>
        <w:rPr>
          <w:rFonts w:ascii="Calibri" w:eastAsia="Times New Roman" w:hAnsi="Calibri" w:cs="Calibri"/>
        </w:rPr>
      </w:pPr>
      <w:r>
        <w:rPr>
          <w:rFonts w:ascii="Calibri" w:eastAsia="Times New Roman" w:hAnsi="Calibri" w:cs="Calibri"/>
        </w:rPr>
        <w:t>El turismo pesa, y pesa donde se concentra</w:t>
      </w:r>
    </w:p>
    <w:p w14:paraId="779CCD1F"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España recibió 96,8 millones de turistas en 2025, frente a 83,5 en 2019, y las noches en alojamientos de plataformas pasaron de 106 a 190 millones. Según la patronal turística, una vivienda ingresa en alquiler turístico unas dos veces y media lo que ingresaría alquilada a un residente. En Barcelona, un estudio que aísla la causa encontró que el uso turístico encareció el alquiler cerca de un 2 % de media y un 7 % en los barrios con más presión.</w:t>
      </w:r>
    </w:p>
    <w:p w14:paraId="5576171F"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La cifra que se suele dar, que son el 1,3 % de las viviendas del país, no dice nada, porque no están repartidas: están en el centro. Son el 5 % de las viviendas del distrito Centro de Madrid y el 13 % en el distrito más turístico de Sevilla, y hay calles del centro de Málaga donde pasan de la mitad. Medidas sobre lo que de verdad compite con ellas, las viviendas que los particulares alquilan en la zona, el Banco de España calcula que suponen el 45 % del mercado en el centro turístico de Sevilla y de Málaga,</w:t>
      </w:r>
      <w:r>
        <w:rPr>
          <w:rFonts w:ascii="Calibri" w:hAnsi="Calibri" w:cs="Calibri"/>
          <w:color w:val="1F2933"/>
          <w:sz w:val="21"/>
          <w:szCs w:val="21"/>
        </w:rPr>
        <w:t xml:space="preserve"> el 22 % en el de Barcelona y el 15 % en el de Madrid.</w:t>
      </w:r>
    </w:p>
    <w:p w14:paraId="2E61D9A7"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En Madrid, cada piso turístico supone un hogar menos en el barrio, según un estudio de 128 barrios; en Barcelona, ochenta hogares menos por cada cien anuncios. Lo que nadie ha podido medir es qué era antes cada una de esas viviendas (si estaba vacía, alquilada o era segunda residencia) ni adónde va cuando deja de ser turística: los registros que permitirían saberlo no se cruzan.</w:t>
      </w:r>
    </w:p>
    <w:p w14:paraId="7AE7A9E4" w14:textId="77777777" w:rsidR="007B4858" w:rsidRDefault="007B4858">
      <w:pPr>
        <w:pStyle w:val="Ttulo3"/>
        <w:rPr>
          <w:rFonts w:ascii="Calibri" w:eastAsia="Times New Roman" w:hAnsi="Calibri" w:cs="Calibri"/>
        </w:rPr>
      </w:pPr>
      <w:r>
        <w:rPr>
          <w:rFonts w:ascii="Calibri" w:eastAsia="Times New Roman" w:hAnsi="Calibri" w:cs="Calibri"/>
        </w:rPr>
        <w:t>«Los fondos» son dos actores distintos</w:t>
      </w:r>
    </w:p>
    <w:p w14:paraId="246D81F2"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Los grandes fondos internacionales compraron carteras de bancos y vivienda pública, sobre todo en la periferia, y las explotan como alquiler de larga duración, con subidas de renta: en los bloques de vivienda pública de Carabanchel que compró uno de ellos, los ingresos por alquiler subieron un 38 % en tres años. Quienes compran edificios céntricos para vaciarlos y pasarlos a turístico, lujo o alquiler por meses son otros: inversores locales medianos y sociedades pequeñas. En Barcelona, el 56 % de las licenc</w:t>
      </w:r>
      <w:r>
        <w:rPr>
          <w:rFonts w:ascii="Calibri" w:hAnsi="Calibri" w:cs="Calibri"/>
          <w:color w:val="1F2933"/>
          <w:sz w:val="21"/>
          <w:szCs w:val="21"/>
        </w:rPr>
        <w:t>ias turísticas es de empresas, pero ninguna tiene más de 200 pisos.</w:t>
      </w:r>
    </w:p>
    <w:p w14:paraId="181EECF8"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lastRenderedPageBreak/>
        <w:t>Sobre quién tiene qué hay más datos de los que se cree. Según el Catastro, 26.897 titulares poseen más de diez viviendas cada uno y reúnen algo más de un millón, el 4,3 % de todas, sin contar País Vasco ni Navarra; más de la mitad de esas viviendas es de sociedades y otras entidades privadas. Entre los particulares el alquiler está repartido: la mitad de las viviendas alquiladas es de quien alquila una sola. Lo que no existe es el dato que cerraría la discusión: cuántas de las viviendas de los grandes propi</w:t>
      </w:r>
      <w:r>
        <w:rPr>
          <w:rFonts w:ascii="Calibri" w:hAnsi="Calibri" w:cs="Calibri"/>
          <w:color w:val="1F2933"/>
          <w:sz w:val="21"/>
          <w:szCs w:val="21"/>
        </w:rPr>
        <w:t>etarios están en alquiler. Y no hay ninguna medición para España de cuánto encarecen el alquiler.</w:t>
      </w:r>
    </w:p>
    <w:p w14:paraId="7575A794" w14:textId="77777777" w:rsidR="007B4858" w:rsidRDefault="007B4858">
      <w:pPr>
        <w:pStyle w:val="Ttulo3"/>
        <w:rPr>
          <w:rFonts w:ascii="Calibri" w:eastAsia="Times New Roman" w:hAnsi="Calibri" w:cs="Calibri"/>
        </w:rPr>
      </w:pPr>
      <w:r>
        <w:rPr>
          <w:rFonts w:ascii="Calibri" w:eastAsia="Times New Roman" w:hAnsi="Calibri" w:cs="Calibri"/>
        </w:rPr>
        <w:t>La inmigración: quien presiona el alquiler, quien más lo sufre y quien construye</w:t>
      </w:r>
    </w:p>
    <w:p w14:paraId="3DAACF87"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Todo el aumento de población de España es inmigración: entre 2021 y 2025 los nacidos fuera aumentan en 2,2 millones y los nacidos en España bajan en medio millón. Llegan porque hay trabajo: ocuparon tres de cada cuatro empleos creados entre 2019 y 2024. Viven de alquiler mucho más que el resto (el 63 % de los hogares de fuera de la Unión Europea, frente al 11 % de los españoles) y ganan menos: su salario medio es el 78 % del de los españoles, y casi la mitad de los que vienen de fuera de la Unión está en ri</w:t>
      </w:r>
      <w:r>
        <w:rPr>
          <w:rFonts w:ascii="Calibri" w:hAnsi="Calibri" w:cs="Calibri"/>
          <w:color w:val="1F2933"/>
          <w:sz w:val="21"/>
          <w:szCs w:val="21"/>
        </w:rPr>
        <w:t>esgo de pobreza.</w:t>
      </w:r>
    </w:p>
    <w:p w14:paraId="5CE84422"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Tres matices que el debate suele saltarse. No es cierto que lo normal sea trabajar sin papeles: la mejor estimación da uno de cada cuatro ocupados de fuera de la Unión sin alta en la Seguridad Social, una minoría grande. No es un grupo uniforme: uno de cada cinco es directivo, técnico o profesional, y hay compradores extranjeros que pagan casi el doble que los nacionales por metro cuadrado. Y son también la oferta: el 27 % de los asalariados de la construcción son extranjeros, en un sector donde seis de cad</w:t>
      </w:r>
      <w:r>
        <w:rPr>
          <w:rFonts w:ascii="Calibri" w:hAnsi="Calibri" w:cs="Calibri"/>
          <w:color w:val="1F2933"/>
          <w:sz w:val="21"/>
          <w:szCs w:val="21"/>
        </w:rPr>
        <w:t>a diez empresas dicen que les falta personal.</w:t>
      </w:r>
    </w:p>
    <w:p w14:paraId="558AC13D"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Como los inquilinos en general, absorben el precio compartiendo: entre los extranjeros, la proporción que vive en viviendas sobreocupadas se ha duplicado en diez años, del 9,6 % al 19,3 %.</w:t>
      </w:r>
    </w:p>
    <w:p w14:paraId="472428C9" w14:textId="77777777" w:rsidR="007B4858" w:rsidRDefault="007B4858">
      <w:pPr>
        <w:pStyle w:val="Ttulo3"/>
        <w:rPr>
          <w:rFonts w:ascii="Calibri" w:eastAsia="Times New Roman" w:hAnsi="Calibri" w:cs="Calibri"/>
        </w:rPr>
      </w:pPr>
      <w:r>
        <w:rPr>
          <w:rFonts w:ascii="Calibri" w:eastAsia="Times New Roman" w:hAnsi="Calibri" w:cs="Calibri"/>
        </w:rPr>
        <w:t>La vivienda pública funciona para quien la recibe</w:t>
      </w:r>
    </w:p>
    <w:p w14:paraId="513D88E0"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España tiene unas 300.000 viviendas de alquiler social, el 1,5 % de las viviendas principales; la media europea ronda el 8 %. Cuando a una persona sin hogar se le da una vivienda con apoyo, el 96 % la conserva año y medio después; sin ella, una de cada cuatro sigue en la calle. Lo que no se ha medido es cuánto mejora el conjunto por cada vivienda pública añadida, ni cuánta construcción privada deja de hacerse.</w:t>
      </w:r>
    </w:p>
    <w:p w14:paraId="40B8DBC2"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Las formas de conseguirla cuestan muy distinto. En el País Vasco, construir una vivienda de alquiler protegido costaba 134.000 euros y comprarla 82.000; alquilar una vivienda vacía a su dueño para realquilarla barata costaba 4.900 euros al año. Y la versión sin dinero, que solo asegura al dueño contra el impago, apenas captó viviendas.</w:t>
      </w:r>
    </w:p>
    <w:p w14:paraId="0ED367EA" w14:textId="77777777" w:rsidR="007B4858" w:rsidRDefault="007B4858">
      <w:pPr>
        <w:pStyle w:val="Ttulo2"/>
        <w:rPr>
          <w:rFonts w:ascii="Calibri" w:eastAsia="Times New Roman" w:hAnsi="Calibri" w:cs="Calibri"/>
        </w:rPr>
      </w:pPr>
      <w:r>
        <w:rPr>
          <w:rFonts w:ascii="Calibri" w:eastAsia="Times New Roman" w:hAnsi="Calibri" w:cs="Calibri"/>
        </w:rPr>
        <w:t>4. Lo que cada mirada ve, y lo que deja fuera</w:t>
      </w:r>
    </w:p>
    <w:tbl>
      <w:tblPr>
        <w:tblW w:w="5000" w:type="pct"/>
        <w:tblCellMar>
          <w:top w:w="15" w:type="dxa"/>
          <w:left w:w="15" w:type="dxa"/>
          <w:bottom w:w="15" w:type="dxa"/>
          <w:right w:w="15" w:type="dxa"/>
        </w:tblCellMar>
        <w:tblLook w:val="04A0" w:firstRow="1" w:lastRow="0" w:firstColumn="1" w:lastColumn="0" w:noHBand="0" w:noVBand="1"/>
      </w:tblPr>
      <w:tblGrid>
        <w:gridCol w:w="3156"/>
        <w:gridCol w:w="5593"/>
        <w:gridCol w:w="5593"/>
      </w:tblGrid>
      <w:tr w:rsidR="00000000" w14:paraId="477FAE42" w14:textId="77777777" w:rsidTr="007B4858">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462597"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que se dice</w:t>
            </w:r>
          </w:p>
        </w:tc>
        <w:tc>
          <w:tcPr>
            <w:tcW w:w="19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1D0ACB"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En qué acierta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33C7AA"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deja fuera</w:t>
            </w:r>
          </w:p>
        </w:tc>
      </w:tr>
      <w:tr w:rsidR="00000000" w14:paraId="39442CBB"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CEA3A"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«Falta construir; hay que liberar suelo y quitar trabas»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C27B28"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 forman unos 250.000 hogares al año y se terminan menos de 100.000 viviendas. Agilizar el suelo es la única medida que no perjudica a nadie de entrada.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FB56F8"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Tarda años y no llega a quien alquila hoy. Con la evidencia más firme, no mejora ninguno de los quince resultados sociales. Y, según una de las grandes tasadoras, la vivienda nueva se dirige a quien más puede pagar.</w:t>
            </w:r>
          </w:p>
        </w:tc>
      </w:tr>
      <w:tr w:rsidR="00000000" w14:paraId="21273665"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74C419"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«El capital que invierte en vivienda es la solución, no el problema»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3B578"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inversores profesionales han entregado vivienda de alquiler nueva, y prohibirles comprar no bajó los precios en Países Bajos.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593E3"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compran vivienda que ya existe, suben la renta más que otros caseros. Mejorarles el trato fiscal es la segunda peor medida de las veintiséis analizadas.</w:t>
            </w:r>
          </w:p>
        </w:tc>
      </w:tr>
      <w:tr w:rsidR="00000000" w14:paraId="78049AB0"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5E8CBE"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 especulación; basta con topar los precios y proteger al inquilino»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A3CDF"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tope baja el alquiler de quien tiene contrato, con evidencia sólida. La protección evita desahucios.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E2DEC"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Protegen a quien está dentro y dificultan la entrada a quien busca: hay menos contratos nuevos, más selección de inquilinos y más discriminación. Parte de la oferta se escapa al alquiler por meses y por habitaciones.</w:t>
            </w:r>
          </w:p>
        </w:tc>
      </w:tr>
      <w:tr w:rsidR="00000000" w14:paraId="0331786B"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F379D"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«El problema es la inmigración» o «el problema es el turismo»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F56E9B"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dos cosas presionan la demanda, y hay estudios que lo miden.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111B8"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inmigración es también quien más sufre el alquiler y quien construye. El turismo pesa mucho en los centros y nada en la mayor parte del país.</w:t>
            </w:r>
          </w:p>
        </w:tc>
      </w:tr>
    </w:tbl>
    <w:p w14:paraId="1BE559AB" w14:textId="77777777" w:rsidR="007B4858" w:rsidRDefault="007B4858">
      <w:pPr>
        <w:pStyle w:val="Ttulo2"/>
        <w:rPr>
          <w:rFonts w:ascii="Calibri" w:eastAsia="Times New Roman" w:hAnsi="Calibri" w:cs="Calibri"/>
        </w:rPr>
      </w:pPr>
      <w:r>
        <w:rPr>
          <w:rFonts w:ascii="Calibri" w:eastAsia="Times New Roman" w:hAnsi="Calibri" w:cs="Calibri"/>
        </w:rPr>
        <w:t>5. Siete ideas que se pueden defender</w:t>
      </w:r>
    </w:p>
    <w:p w14:paraId="48ADC2D3"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Cada una dice qué la sostiene y qué la haría caer. El número entre paréntesis es el saldo del cálculo: resultados sociales que mejoran menos los que empeoran, de quince; el segundo, usando solo la evidencia más firme.</w:t>
      </w:r>
    </w:p>
    <w:p w14:paraId="4D17F0FE" w14:textId="77777777" w:rsidR="007B4858" w:rsidRDefault="007B4858">
      <w:pPr>
        <w:pStyle w:val="Ttulo3"/>
        <w:rPr>
          <w:rFonts w:ascii="Calibri" w:eastAsia="Times New Roman" w:hAnsi="Calibri" w:cs="Calibri"/>
        </w:rPr>
      </w:pPr>
      <w:r>
        <w:rPr>
          <w:rFonts w:ascii="Calibri" w:eastAsia="Times New Roman" w:hAnsi="Calibri" w:cs="Calibri"/>
        </w:rPr>
        <w:t>1. El objetivo ya no es solo que el alquiler pese menos: es que se pueda entrar</w:t>
      </w:r>
    </w:p>
    <w:p w14:paraId="2A852009"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Los indicadores de quien ya alquila mejoran y los de quien no entra empeoran más de la mitad. Una política que solo mire el esfuerzo de los inquilinos actuales puede darse por satisfecha mientras el problema crece fuera.</w:t>
      </w:r>
    </w:p>
    <w:p w14:paraId="502AB1FD"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Que la mejora de los de dentro se deba a un cambio en la forma de hacer la encuesta, que adelantó sus entrevistas justo en esos años. No se ha podido descartar.</w:t>
      </w:r>
    </w:p>
    <w:p w14:paraId="10FB2402" w14:textId="77777777" w:rsidR="007B4858" w:rsidRDefault="007B4858">
      <w:pPr>
        <w:pStyle w:val="Ttulo3"/>
        <w:rPr>
          <w:rFonts w:ascii="Calibri" w:eastAsia="Times New Roman" w:hAnsi="Calibri" w:cs="Calibri"/>
        </w:rPr>
      </w:pPr>
      <w:r>
        <w:rPr>
          <w:rFonts w:ascii="Calibri" w:eastAsia="Times New Roman" w:hAnsi="Calibri" w:cs="Calibri"/>
        </w:rPr>
        <w:t>2. La vivienda es para vivir: restringir su uso turístico es la medida mejor respaldada (+10; +8)</w:t>
      </w:r>
    </w:p>
    <w:p w14:paraId="0DA12630"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Es la medida aislada con mejor saldo cuando se exige evidencia firme, y liberalizarlo es la peor de todas (−10). No empeora ningún resultado social.</w:t>
      </w:r>
    </w:p>
    <w:p w14:paraId="7A42C185"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Que las viviendas que dejan de ser turísticas no vuelvan al alquiler normal sino al alquiler por meses. Hay indicios de que parte lo hace. Y tiene un coste: menos plazas y alojamiento más caro para el turista.</w:t>
      </w:r>
    </w:p>
    <w:p w14:paraId="6E071375" w14:textId="77777777" w:rsidR="007B4858" w:rsidRDefault="007B4858">
      <w:pPr>
        <w:pStyle w:val="Ttulo3"/>
        <w:rPr>
          <w:rFonts w:ascii="Calibri" w:eastAsia="Times New Roman" w:hAnsi="Calibri" w:cs="Calibri"/>
        </w:rPr>
      </w:pPr>
      <w:r>
        <w:rPr>
          <w:rFonts w:ascii="Calibri" w:eastAsia="Times New Roman" w:hAnsi="Calibri" w:cs="Calibri"/>
        </w:rPr>
        <w:t>3. Premiar al que alquila para vivir funciona mejor que castigar al que no lo hace (+5; +3)</w:t>
      </w:r>
    </w:p>
    <w:p w14:paraId="2082715B"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La rebaja fiscal al propietario que alquila como vivienda habitual está evaluada por la autoridad fiscal independiente: consigue más oferta. Es una de las piezas de los paquetes que empatan en cabeza. El recargo a la vivienda vacía, en cambio, no muestra efecto con la evidencia disponible.</w:t>
      </w:r>
    </w:p>
    <w:p w14:paraId="474381A8"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La misma evaluación dice que beneficia más a quien más tiene. Habría que rediseñarla para que no sea un regalo.</w:t>
      </w:r>
    </w:p>
    <w:p w14:paraId="03D1DC75" w14:textId="77777777" w:rsidR="007B4858" w:rsidRDefault="007B4858">
      <w:pPr>
        <w:pStyle w:val="Ttulo3"/>
        <w:rPr>
          <w:rFonts w:ascii="Calibri" w:eastAsia="Times New Roman" w:hAnsi="Calibri" w:cs="Calibri"/>
        </w:rPr>
      </w:pPr>
      <w:r>
        <w:rPr>
          <w:rFonts w:ascii="Calibri" w:eastAsia="Times New Roman" w:hAnsi="Calibri" w:cs="Calibri"/>
        </w:rPr>
        <w:t>4. A los inversores hay que distinguirlos: bien si construyen alquiler, mal si compran lo que ya existe para encarecerlo o cambiarle el uso (+9; 0)</w:t>
      </w:r>
    </w:p>
    <w:p w14:paraId="2503207D"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Limitar la compra de vivienda ya construida por inversores mejora nueve resultados sociales y no empeora ninguno. Los estudios de caso españoles muestran subidas fuertes de renta tras la compra. En cambio, el capital que construye alquiler nuevo añade oferta.</w:t>
      </w:r>
    </w:p>
    <w:p w14:paraId="040226CB"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Toda esa evidencia es de confianza baja: con la más firme, el saldo es cero. Y la herramienta fiscal no distingue: retirar las ventajas a las sociedades de inversión da +7 con toda la evidencia y −3 con la firme, porque el mismo régimen ampara a quien compra y a quien construye. Habría que rediseñarlo para separar los dos usos.</w:t>
      </w:r>
    </w:p>
    <w:p w14:paraId="6196E2E1" w14:textId="77777777" w:rsidR="007B4858" w:rsidRDefault="007B4858">
      <w:pPr>
        <w:pStyle w:val="Ttulo3"/>
        <w:rPr>
          <w:rFonts w:ascii="Calibri" w:eastAsia="Times New Roman" w:hAnsi="Calibri" w:cs="Calibri"/>
        </w:rPr>
      </w:pPr>
      <w:r>
        <w:rPr>
          <w:rFonts w:ascii="Calibri" w:eastAsia="Times New Roman" w:hAnsi="Calibri" w:cs="Calibri"/>
        </w:rPr>
        <w:t>5. El tope y la protección del inquilino solo tienen sentido acompañados (+5; +1 y −2; −3)</w:t>
      </w:r>
    </w:p>
    <w:p w14:paraId="748AC739"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Solos, trasladan el daño de quien está dentro a quien quiere entrar. El paquete completo de regulación (tope, protección, límites a inversores y al turismo) da un saldo de +8, peor que restringir solo el uso turístico (+10).</w:t>
      </w:r>
    </w:p>
    <w:p w14:paraId="0B09CEB8"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Que el tope no reduzca la oferta. Es la relación más disputada de todo el trabajo: dos estudios serios sobre Cataluña dicen cosas opuestas, y los datos oficiales de 2026 muestran más contratos vigentes mientras los portales muestran menos anuncios.</w:t>
      </w:r>
    </w:p>
    <w:p w14:paraId="124C29CF" w14:textId="77777777" w:rsidR="007B4858" w:rsidRDefault="007B4858">
      <w:pPr>
        <w:pStyle w:val="Ttulo3"/>
        <w:rPr>
          <w:rFonts w:ascii="Calibri" w:eastAsia="Times New Roman" w:hAnsi="Calibri" w:cs="Calibri"/>
        </w:rPr>
      </w:pPr>
      <w:r>
        <w:rPr>
          <w:rFonts w:ascii="Calibri" w:eastAsia="Times New Roman" w:hAnsi="Calibri" w:cs="Calibri"/>
        </w:rPr>
        <w:t>6. Vivienda pública sí, empezando por la que ya está construida (+2; 0)</w:t>
      </w:r>
    </w:p>
    <w:p w14:paraId="0EECB030"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Funciona para quien la recibe, y comprar o movilizar vivienda existente es más rápido y barato que construir. La compra pública de viviendas y edificios entra en el paquete ganador.</w:t>
      </w:r>
    </w:p>
    <w:p w14:paraId="292FC794"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Su saldo es modesto porque el beneficio para el conjunto no está medido en España. Sin esa medición, la defensa de un gran parque público descansa en la comparación con Europa, no en una prueba.</w:t>
      </w:r>
    </w:p>
    <w:p w14:paraId="29083DB4" w14:textId="77777777" w:rsidR="007B4858" w:rsidRDefault="007B4858">
      <w:pPr>
        <w:pStyle w:val="Ttulo3"/>
        <w:rPr>
          <w:rFonts w:ascii="Calibri" w:eastAsia="Times New Roman" w:hAnsi="Calibri" w:cs="Calibri"/>
        </w:rPr>
      </w:pPr>
      <w:r>
        <w:rPr>
          <w:rFonts w:ascii="Calibri" w:eastAsia="Times New Roman" w:hAnsi="Calibri" w:cs="Calibri"/>
        </w:rPr>
        <w:t>7. La inmigración no es la causa a combatir: es parte del problema, de sus víctimas y de su solución</w:t>
      </w:r>
    </w:p>
    <w:p w14:paraId="3C33DA10"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Por qué.</w:t>
      </w:r>
      <w:r>
        <w:rPr>
          <w:rFonts w:ascii="Calibri" w:hAnsi="Calibri" w:cs="Calibri"/>
          <w:color w:val="1F2933"/>
          <w:sz w:val="21"/>
          <w:szCs w:val="21"/>
        </w:rPr>
        <w:t xml:space="preserve"> </w:t>
      </w:r>
      <w:r>
        <w:rPr>
          <w:rFonts w:ascii="Calibri" w:hAnsi="Calibri" w:cs="Calibri"/>
          <w:color w:val="1F2933"/>
          <w:sz w:val="21"/>
          <w:szCs w:val="21"/>
        </w:rPr>
        <w:t>Añade demanda de alquiler, soporta la peor parte y aporta la mano de obra que falta para construir. El propio precio del alquiler ya frena las llegadas: por cada 1 % que sube, bajan un 0,4 %.</w:t>
      </w:r>
    </w:p>
    <w:p w14:paraId="2C417014" w14:textId="77777777" w:rsidR="007B4858" w:rsidRDefault="007B4858">
      <w:pPr>
        <w:pStyle w:val="NormalWeb"/>
        <w:rPr>
          <w:rFonts w:ascii="Calibri" w:hAnsi="Calibri" w:cs="Calibri"/>
          <w:color w:val="1F2933"/>
          <w:sz w:val="21"/>
          <w:szCs w:val="21"/>
        </w:rPr>
      </w:pPr>
      <w:r>
        <w:rPr>
          <w:rFonts w:ascii="Calibri" w:hAnsi="Calibri" w:cs="Calibri"/>
          <w:b/>
          <w:bCs/>
          <w:color w:val="1F2933"/>
          <w:sz w:val="21"/>
          <w:szCs w:val="21"/>
        </w:rPr>
        <w:t>Qué la refutaría.</w:t>
      </w:r>
      <w:r>
        <w:rPr>
          <w:rFonts w:ascii="Calibri" w:hAnsi="Calibri" w:cs="Calibri"/>
          <w:color w:val="1F2933"/>
          <w:sz w:val="21"/>
          <w:szCs w:val="21"/>
        </w:rPr>
        <w:t xml:space="preserve"> </w:t>
      </w:r>
      <w:r>
        <w:rPr>
          <w:rFonts w:ascii="Calibri" w:hAnsi="Calibri" w:cs="Calibri"/>
          <w:color w:val="1F2933"/>
          <w:sz w:val="21"/>
          <w:szCs w:val="21"/>
        </w:rPr>
        <w:t>No hay una medición reciente de cuánto encarece el alquiler; las que existen son de antes de 2019.</w:t>
      </w:r>
    </w:p>
    <w:p w14:paraId="6575880E" w14:textId="77777777" w:rsidR="007B4858" w:rsidRDefault="007B4858">
      <w:pPr>
        <w:pStyle w:val="Ttulo2"/>
        <w:rPr>
          <w:rFonts w:ascii="Calibri" w:eastAsia="Times New Roman" w:hAnsi="Calibri" w:cs="Calibri"/>
        </w:rPr>
      </w:pPr>
      <w:r>
        <w:rPr>
          <w:rFonts w:ascii="Calibri" w:eastAsia="Times New Roman" w:hAnsi="Calibri" w:cs="Calibri"/>
        </w:rPr>
        <w:t>6. El paquete que sale del cálculo</w:t>
      </w:r>
    </w:p>
    <w:p w14:paraId="68F1644A"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Entre todas las combinaciones, las de menor coste social comparten una pieza y varían en las otras dos: restringir el uso turístico de la vivienda, más dos piezas que empatan entre varias: compra pública o inversión en vivienda protegida, rebaja fiscal o garantía de cobro al pequeño propietario, y estabilidad de las reglas del alquiler. Mejoran trece de los quince resultados sociales y no empeoran ninguno. Sus costes recaen fuera del objetivo: turistas, construcción nueva y rentabilidad del propietario.</w:t>
      </w:r>
    </w:p>
    <w:tbl>
      <w:tblPr>
        <w:tblW w:w="5000" w:type="pct"/>
        <w:tblCellMar>
          <w:top w:w="15" w:type="dxa"/>
          <w:left w:w="15" w:type="dxa"/>
          <w:bottom w:w="15" w:type="dxa"/>
          <w:right w:w="15" w:type="dxa"/>
        </w:tblCellMar>
        <w:tblLook w:val="04A0" w:firstRow="1" w:lastRow="0" w:firstColumn="1" w:lastColumn="0" w:noHBand="0" w:noVBand="1"/>
      </w:tblPr>
      <w:tblGrid>
        <w:gridCol w:w="2008"/>
        <w:gridCol w:w="4876"/>
        <w:gridCol w:w="1004"/>
        <w:gridCol w:w="1004"/>
        <w:gridCol w:w="1147"/>
        <w:gridCol w:w="861"/>
        <w:gridCol w:w="1291"/>
        <w:gridCol w:w="2151"/>
      </w:tblGrid>
      <w:tr w:rsidR="00000000" w14:paraId="1B3649D4" w14:textId="77777777" w:rsidTr="007B4858">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A1579B"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 de medidas</w:t>
            </w:r>
          </w:p>
        </w:tc>
        <w:tc>
          <w:tcPr>
            <w:tcW w:w="1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BAA9E4A"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 paquete de la familia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875394"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9E0E50"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97D9B9"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7884CB3"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2F3353D"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4E2034" w14:textId="77777777" w:rsidR="007B4858" w:rsidRDefault="007B4858">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resultados sociales empeoran</w:t>
            </w:r>
          </w:p>
        </w:tc>
      </w:tr>
      <w:tr w:rsidR="00000000" w14:paraId="07A087B5"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BB19D1"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Cualquiera (se pueden mezclar)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DA2B90"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C5F579"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670BB5"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90182"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FBC181"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B2D36"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21EB2"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11A66D9"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2D397"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C2179"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9CDBB9"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A62DF6"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3E039E"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DA8A6"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BE9DB"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752A4"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0D50E87B" w14:textId="77777777" w:rsidTr="007B4858">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E863AD"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4E3AC"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F3931"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A1E271"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78FA7D"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2E8DEA"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71131"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2B4DB4" w14:textId="77777777" w:rsidR="007B4858" w:rsidRDefault="007B4858">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bl>
    <w:p w14:paraId="73F37459"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Dos advertencias. Seis paquetes empatan en cabeza, y cuál aparece primero ha cambiado en cada versión del cálculo: lo único estable es limitar el uso turístico. Y ninguna receta pura gana: solo intervención y solo mercado quedan por debajo, y con la evidencia más firme, muy por debajo.</w:t>
      </w:r>
    </w:p>
    <w:p w14:paraId="5DC366FA" w14:textId="77777777" w:rsidR="007B4858" w:rsidRDefault="007B4858">
      <w:pPr>
        <w:pStyle w:val="Ttulo2"/>
        <w:rPr>
          <w:rFonts w:ascii="Calibri" w:eastAsia="Times New Roman" w:hAnsi="Calibri" w:cs="Calibri"/>
        </w:rPr>
      </w:pPr>
      <w:r>
        <w:rPr>
          <w:rFonts w:ascii="Calibri" w:eastAsia="Times New Roman" w:hAnsi="Calibri" w:cs="Calibri"/>
        </w:rPr>
        <w:t>7. Lo que no se sabe, y decidiría la discusión</w:t>
      </w:r>
    </w:p>
    <w:p w14:paraId="2C526D59" w14:textId="77777777" w:rsidR="007B4858" w:rsidRDefault="007B4858">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Qué era antes cada vivienda turística y adónde va cuando deja de serlo: haría falta cruzar las licencias con el padrón o con las fianzas de alquiler.</w:t>
      </w:r>
    </w:p>
    <w:p w14:paraId="7139B1B7" w14:textId="77777777" w:rsidR="007B4858" w:rsidRDefault="007B4858">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Cuánto encarecen el alquiler los fondos y sociedades de inversión en España.</w:t>
      </w:r>
    </w:p>
    <w:p w14:paraId="4D63B722" w14:textId="77777777" w:rsidR="007B4858" w:rsidRDefault="007B4858">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Cuántos inquilinos pierden su casa por no renovación o por la venta del edificio: los juzgados solo cuentan los desahucios, y no por edad ni por tipo de hogar.</w:t>
      </w:r>
    </w:p>
    <w:p w14:paraId="057584B9" w14:textId="77777777" w:rsidR="007B4858" w:rsidRDefault="007B4858">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Cuánto mejora el conjunto por cada vivienda pública añadida.</w:t>
      </w:r>
    </w:p>
    <w:p w14:paraId="087159DE" w14:textId="77777777" w:rsidR="007B4858" w:rsidRDefault="007B4858">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Cuánta gente vive en habitaciones alquiladas: no hay ninguna cifra oficial.</w:t>
      </w:r>
    </w:p>
    <w:p w14:paraId="7F915703" w14:textId="77777777" w:rsidR="007B4858" w:rsidRDefault="007B4858">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Cuántas viviendas de los grandes propietarios están en alquiler: el Catastro sabe quién es el dueño y Hacienda qué está alquilado, pero nadie cruza los dos registros.</w:t>
      </w:r>
    </w:p>
    <w:p w14:paraId="05C4053B" w14:textId="77777777" w:rsidR="007B4858" w:rsidRDefault="007B4858">
      <w:pPr>
        <w:pStyle w:val="NormalWeb"/>
        <w:rPr>
          <w:rFonts w:ascii="Calibri" w:hAnsi="Calibri" w:cs="Calibri"/>
          <w:color w:val="1F2933"/>
          <w:sz w:val="21"/>
          <w:szCs w:val="21"/>
        </w:rPr>
      </w:pPr>
      <w:r>
        <w:rPr>
          <w:rFonts w:ascii="Calibri" w:hAnsi="Calibri" w:cs="Calibri"/>
          <w:color w:val="1F2933"/>
          <w:sz w:val="21"/>
          <w:szCs w:val="21"/>
        </w:rPr>
        <w:t>Que falten precisamente estos datos no es casual: son los que permitirían a cada bando comprobar su relato.</w:t>
      </w:r>
    </w:p>
    <w:p w14:paraId="4C0954B7" w14:textId="77777777" w:rsidR="007B4858" w:rsidRDefault="007B4858">
      <w:pPr>
        <w:pStyle w:val="Ttulo2"/>
        <w:rPr>
          <w:rFonts w:ascii="Calibri" w:eastAsia="Times New Roman" w:hAnsi="Calibri" w:cs="Calibri"/>
        </w:rPr>
      </w:pPr>
      <w:r>
        <w:rPr>
          <w:rFonts w:ascii="Calibri" w:eastAsia="Times New Roman" w:hAnsi="Calibri" w:cs="Calibri"/>
        </w:rPr>
        <w:t>8. Límites de este trabajo</w:t>
      </w:r>
    </w:p>
    <w:p w14:paraId="1D03D7BC" w14:textId="77777777" w:rsidR="007B4858" w:rsidRDefault="007B4858">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Dirección, no tamaño.</w:t>
      </w:r>
      <w:r>
        <w:rPr>
          <w:rFonts w:ascii="Calibri" w:eastAsia="Times New Roman" w:hAnsi="Calibri" w:cs="Calibri"/>
          <w:color w:val="1F2933"/>
          <w:sz w:val="21"/>
          <w:szCs w:val="21"/>
        </w:rPr>
        <w:t xml:space="preserve"> «Mejora» significa que las causas más directas empujan a favor. Puede ser mucho o casi nada.</w:t>
      </w:r>
    </w:p>
    <w:p w14:paraId="37780650" w14:textId="77777777" w:rsidR="007B4858" w:rsidRDefault="007B4858">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Depende de lo que se ha estudiado.</w:t>
      </w:r>
      <w:r>
        <w:rPr>
          <w:rFonts w:ascii="Calibri" w:eastAsia="Times New Roman" w:hAnsi="Calibri" w:cs="Calibri"/>
          <w:color w:val="1F2933"/>
          <w:sz w:val="21"/>
          <w:szCs w:val="21"/>
        </w:rPr>
        <w:t xml:space="preserve"> Lo que no tiene fuente no cuenta, y eso perjudica a las medidas cuyo beneficio parece evidente pero nadie ha medido. El resultado ha cambiado cada vez que se ha encontrado evidencia nueva.</w:t>
      </w:r>
    </w:p>
    <w:p w14:paraId="1296FBB0" w14:textId="77777777" w:rsidR="007B4858" w:rsidRDefault="007B4858">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Buena parte de la evidencia es de otros países</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o de una sola ciudad, casi siempre Barcelona.</w:t>
      </w:r>
    </w:p>
    <w:p w14:paraId="4542537F" w14:textId="77777777" w:rsidR="007B4858" w:rsidRDefault="007B4858">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objetivo es una elección.</w:t>
      </w:r>
      <w:r>
        <w:rPr>
          <w:rFonts w:ascii="Calibri" w:eastAsia="Times New Roman" w:hAnsi="Calibri" w:cs="Calibri"/>
          <w:color w:val="1F2933"/>
          <w:sz w:val="21"/>
          <w:szCs w:val="21"/>
        </w:rPr>
        <w:t xml:space="preserve"> Aquí cuenta cómo viven las personas y no el beneficio de quien ofrece vivienda. Con otro objetivo, el orden de las medidas cambia.</w:t>
      </w:r>
    </w:p>
    <w:p w14:paraId="1C8A10B2" w14:textId="77777777" w:rsidR="007B4858" w:rsidRDefault="007B4858">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Las leyes se mueven.</w:t>
      </w:r>
      <w:r>
        <w:rPr>
          <w:rFonts w:ascii="Calibri" w:eastAsia="Times New Roman" w:hAnsi="Calibri" w:cs="Calibri"/>
          <w:color w:val="1F2933"/>
          <w:sz w:val="21"/>
          <w:szCs w:val="21"/>
        </w:rPr>
        <w:t xml:space="preserve"> Varias de las normas citadas están aprobadas por decreto y pendientes de confirmación parlamentaria.</w:t>
      </w:r>
    </w:p>
    <w:p w14:paraId="77AF432B" w14:textId="77777777" w:rsidR="007B4858" w:rsidRDefault="007B4858">
      <w:pPr>
        <w:pStyle w:val="pie"/>
        <w:spacing w:before="0" w:beforeAutospacing="0" w:after="120" w:afterAutospacing="0"/>
        <w:rPr>
          <w:rFonts w:ascii="Calibri" w:hAnsi="Calibri" w:cs="Calibri"/>
        </w:rPr>
      </w:pPr>
      <w:r>
        <w:rPr>
          <w:rFonts w:ascii="Calibri" w:hAnsi="Calibri" w:cs="Calibri"/>
        </w:rPr>
        <w:t>Los datos, sus fuentes y el estado de cada cifra están en el documento «Tabla de datos»; el cálculo completo, en «Coste social» e «Índice de sostenibilidad social»; el mapa y sus fuentes, en el expediente del caso.</w:t>
      </w:r>
    </w:p>
    <w:sectPr w:rsidR="00000000" w:rsidSect="007B4858">
      <w:pgSz w:w="16838" w:h="11906" w:orient="landscape"/>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C58BB"/>
    <w:multiLevelType w:val="multilevel"/>
    <w:tmpl w:val="882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243BB"/>
    <w:multiLevelType w:val="multilevel"/>
    <w:tmpl w:val="2430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F04A5"/>
    <w:multiLevelType w:val="multilevel"/>
    <w:tmpl w:val="BDB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796239">
    <w:abstractNumId w:val="2"/>
  </w:num>
  <w:num w:numId="2" w16cid:durableId="802581171">
    <w:abstractNumId w:val="1"/>
  </w:num>
  <w:num w:numId="3" w16cid:durableId="160460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4858"/>
    <w:rsid w:val="00110941"/>
    <w:rsid w:val="007B48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CFD53"/>
  <w15:chartTrackingRefBased/>
  <w15:docId w15:val="{842C4305-92DF-41FD-A867-2E9C4384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20"/>
      <w:outlineLvl w:val="0"/>
    </w:pPr>
    <w:rPr>
      <w:b/>
      <w:bCs/>
      <w:color w:val="12355B"/>
      <w:kern w:val="36"/>
      <w:sz w:val="36"/>
      <w:szCs w:val="36"/>
    </w:rPr>
  </w:style>
  <w:style w:type="paragraph" w:styleId="Ttulo2">
    <w:name w:val="heading 2"/>
    <w:basedOn w:val="Normal"/>
    <w:link w:val="Ttulo2Car"/>
    <w:uiPriority w:val="9"/>
    <w:qFormat/>
    <w:pPr>
      <w:pBdr>
        <w:bottom w:val="single" w:sz="6" w:space="0" w:color="9FB3C8"/>
      </w:pBdr>
      <w:spacing w:before="280" w:after="80"/>
      <w:outlineLvl w:val="1"/>
    </w:pPr>
    <w:rPr>
      <w:b/>
      <w:bCs/>
      <w:color w:val="12355B"/>
      <w:sz w:val="26"/>
      <w:szCs w:val="26"/>
    </w:rPr>
  </w:style>
  <w:style w:type="paragraph" w:styleId="Ttulo3">
    <w:name w:val="heading 3"/>
    <w:basedOn w:val="Normal"/>
    <w:link w:val="Ttulo3Car"/>
    <w:uiPriority w:val="9"/>
    <w:qFormat/>
    <w:pPr>
      <w:spacing w:before="200" w:after="60"/>
      <w:outlineLvl w:val="2"/>
    </w:pPr>
    <w:rPr>
      <w:b/>
      <w:bCs/>
      <w:color w:val="1F5A8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18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180"/>
    </w:pPr>
  </w:style>
  <w:style w:type="paragraph" w:customStyle="1" w:styleId="noticia">
    <w:name w:val="noticia"/>
    <w:basedOn w:val="Normal"/>
    <w:pPr>
      <w:pBdr>
        <w:top w:val="single" w:sz="18" w:space="6" w:color="12355B"/>
      </w:pBdr>
      <w:spacing w:before="280" w:after="100" w:afterAutospacing="1"/>
    </w:pPr>
  </w:style>
  <w:style w:type="paragraph" w:customStyle="1" w:styleId="sello">
    <w:name w:val="sello"/>
    <w:basedOn w:val="Normal"/>
    <w:pPr>
      <w:spacing w:before="100" w:beforeAutospacing="1" w:after="100" w:afterAutospacing="1"/>
    </w:pPr>
    <w:rPr>
      <w:b/>
      <w:bCs/>
      <w:color w:val="B7791F"/>
      <w:spacing w:val="20"/>
      <w:sz w:val="17"/>
      <w:szCs w:val="17"/>
    </w:rPr>
  </w:style>
  <w:style w:type="paragraph" w:customStyle="1" w:styleId="titular">
    <w:name w:val="titular"/>
    <w:basedOn w:val="Normal"/>
    <w:pPr>
      <w:spacing w:before="100" w:beforeAutospacing="1" w:after="80"/>
    </w:pPr>
    <w:rPr>
      <w:rFonts w:ascii="Georgia" w:hAnsi="Georgia"/>
      <w:b/>
      <w:bCs/>
      <w:color w:val="102A43"/>
      <w:sz w:val="40"/>
      <w:szCs w:val="40"/>
    </w:rPr>
  </w:style>
  <w:style w:type="paragraph" w:customStyle="1" w:styleId="entradilla">
    <w:name w:val="entradilla"/>
    <w:basedOn w:val="Normal"/>
    <w:pPr>
      <w:spacing w:before="100" w:beforeAutospacing="1" w:after="160"/>
    </w:pPr>
    <w:rPr>
      <w:rFonts w:ascii="Georgia" w:hAnsi="Georgia"/>
      <w:color w:val="334E68"/>
    </w:rPr>
  </w:style>
  <w:style w:type="paragraph" w:customStyle="1" w:styleId="pie">
    <w:name w:val="pie"/>
    <w:basedOn w:val="Normal"/>
    <w:pPr>
      <w:spacing w:before="100" w:beforeAutospacing="1" w:after="100" w:afterAutospacing="1"/>
    </w:pPr>
    <w:rPr>
      <w:color w:val="52606D"/>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146198">
      <w:marLeft w:val="0"/>
      <w:marRight w:val="0"/>
      <w:marTop w:val="0"/>
      <w:marBottom w:val="180"/>
      <w:divBdr>
        <w:top w:val="single" w:sz="6" w:space="6" w:color="1F5A8A"/>
        <w:left w:val="single" w:sz="6" w:space="8" w:color="1F5A8A"/>
        <w:bottom w:val="single" w:sz="6" w:space="6" w:color="1F5A8A"/>
        <w:right w:val="single" w:sz="6" w:space="8" w:color="1F5A8A"/>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2801</Words>
  <Characters>15406</Characters>
  <Application>Microsoft Office Word</Application>
  <DocSecurity>4</DocSecurity>
  <Lines>128</Lines>
  <Paragraphs>36</Paragraphs>
  <ScaleCrop>false</ScaleCrop>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Vivienda en España: cómo bajar el dolor</dc:title>
  <dc:subject/>
  <dc:creator>Juan  Siria racero</dc:creator>
  <cp:keywords/>
  <dc:description/>
  <cp:lastModifiedBy>Juan  Siria racero</cp:lastModifiedBy>
  <cp:revision>2</cp:revision>
  <dcterms:created xsi:type="dcterms:W3CDTF">2026-10-12T08:59:00Z</dcterms:created>
  <dcterms:modified xsi:type="dcterms:W3CDTF">2026-10-12T08:59:00Z</dcterms:modified>
</cp:coreProperties>
</file>