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C91A6" w14:textId="77777777" w:rsidR="00A55FEC" w:rsidRDefault="00A55FEC">
      <w:pPr>
        <w:pStyle w:val="Ttulo1"/>
        <w:rPr>
          <w:rFonts w:ascii="Calibri" w:eastAsia="Times New Roman" w:hAnsi="Calibri" w:cs="Calibri"/>
        </w:rPr>
      </w:pPr>
      <w:r>
        <w:rPr>
          <w:rFonts w:ascii="Calibri" w:eastAsia="Times New Roman" w:hAnsi="Calibri" w:cs="Calibri"/>
        </w:rPr>
        <w:t>Vivienda en España: el coste social de cada paquete de medidas</w:t>
      </w:r>
    </w:p>
    <w:p w14:paraId="3B3C833E" w14:textId="77777777" w:rsidR="00A55FEC" w:rsidRDefault="00A55FEC">
      <w:pPr>
        <w:pStyle w:val="pie"/>
        <w:spacing w:before="0" w:beforeAutospacing="0" w:after="120" w:afterAutospacing="0"/>
        <w:rPr>
          <w:rFonts w:ascii="Calibri" w:hAnsi="Calibri" w:cs="Calibri"/>
        </w:rPr>
      </w:pPr>
      <w:r>
        <w:rPr>
          <w:rFonts w:ascii="Calibri" w:hAnsi="Calibri" w:cs="Calibri"/>
        </w:rPr>
        <w:t>Proyecto SOIH · 12 de octubre de 2026 · Séptima revisión del mapa causal (97 variables, 117 relaciones con fuente, 37 hipótesis apartadas)</w:t>
      </w:r>
    </w:p>
    <w:p w14:paraId="1B83B79E" w14:textId="77777777" w:rsidR="00A55FEC" w:rsidRDefault="00A55FEC">
      <w:pPr>
        <w:shd w:val="clear" w:color="auto" w:fill="EAF2F8"/>
        <w:divId w:val="681664605"/>
        <w:rPr>
          <w:rFonts w:ascii="Calibri" w:eastAsia="Times New Roman" w:hAnsi="Calibri" w:cs="Calibri"/>
          <w:color w:val="1F2933"/>
          <w:sz w:val="21"/>
          <w:szCs w:val="21"/>
        </w:rPr>
      </w:pPr>
      <w:r>
        <w:rPr>
          <w:rFonts w:ascii="Calibri" w:eastAsia="Times New Roman" w:hAnsi="Calibri" w:cs="Calibri"/>
          <w:b/>
          <w:bCs/>
          <w:color w:val="1F2933"/>
          <w:sz w:val="21"/>
          <w:szCs w:val="21"/>
        </w:rPr>
        <w:t>Qué se pregunta.</w:t>
      </w:r>
      <w:r>
        <w:rPr>
          <w:rFonts w:ascii="Calibri" w:eastAsia="Times New Roman" w:hAnsi="Calibri" w:cs="Calibri"/>
          <w:color w:val="1F2933"/>
          <w:sz w:val="21"/>
          <w:szCs w:val="21"/>
        </w:rPr>
        <w:t xml:space="preserve"> No qué medidas benefician más a quien ofrece vivienda, sino cuáles hacen que más personas vivan con dignidad y con tranquilidad. La tesis de partida es que para eso hay que intervenir el mercado y no dejarlo en manos de la oferta y la demanda. Aquí la tesis no se da por buena: se pone a prueba con la evidencia localizada.</w:t>
      </w:r>
    </w:p>
    <w:p w14:paraId="2727F6ED" w14:textId="77777777" w:rsidR="00A55FEC" w:rsidRDefault="00A55FEC">
      <w:pPr>
        <w:pStyle w:val="Ttulo2"/>
        <w:rPr>
          <w:rFonts w:ascii="Calibri" w:eastAsia="Times New Roman" w:hAnsi="Calibri" w:cs="Calibri"/>
        </w:rPr>
      </w:pPr>
      <w:r>
        <w:rPr>
          <w:rFonts w:ascii="Calibri" w:eastAsia="Times New Roman" w:hAnsi="Calibri" w:cs="Calibri"/>
        </w:rPr>
        <w:t>1. Lo que resulta</w:t>
      </w:r>
    </w:p>
    <w:p w14:paraId="4338A35C" w14:textId="77777777" w:rsidR="00A55FEC" w:rsidRDefault="00A55FEC">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Los paquetes de menor coste social comparten una pieza y varían en las otras dos</w:t>
      </w:r>
      <w:r>
        <w:rPr>
          <w:rFonts w:ascii="Calibri" w:eastAsia="Times New Roman" w:hAnsi="Calibri" w:cs="Calibri"/>
          <w:color w:val="1F2933"/>
          <w:sz w:val="21"/>
          <w:szCs w:val="21"/>
        </w:rPr>
        <w:t>: restringir el uso turístico de la vivienda, más dos piezas que empatan entre varias: compra pública o inversión en vivienda protegida, rebaja fiscal o garantía de cobro al pequeño propietario, y estabilidad de las reglas del alquiler. Seis combinaciones empatan. Mejoran 13 de los 15 resultados sociales y no empeora ninguno en primera ronda; con evidencia media o alta, 8 mejoras y ningún perjuicio.</w:t>
      </w:r>
    </w:p>
    <w:p w14:paraId="6EDFE247" w14:textId="77777777" w:rsidR="00A55FEC" w:rsidRDefault="00A55FEC">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tesis se sostiene en el uso turístico y en los fondos.</w:t>
      </w:r>
      <w:r>
        <w:rPr>
          <w:rFonts w:ascii="Calibri" w:eastAsia="Times New Roman" w:hAnsi="Calibri" w:cs="Calibri"/>
          <w:color w:val="1F2933"/>
          <w:sz w:val="21"/>
          <w:szCs w:val="21"/>
        </w:rPr>
        <w:t xml:space="preserve"> Restringir el uso turístico es la medida aislada con mejor saldo (+10; +8 con evidencia firme) y liberalizarlo, la peor de las 26 analizadas (−10). Limitar la compra de vivienda existente por inversores da +9 sin empeorar ningún resultado social, con evidencia de confianza baja (0 con la firme). Retirar las ventajas fiscales de socimis y fondos da +7, y −3 con evidencia firme, porque el mismo régimen ampara a quien construye alquiler nuevo; mejorarles el trato fiscal da −7.</w:t>
      </w:r>
    </w:p>
    <w:p w14:paraId="1DF8A02D" w14:textId="77777777" w:rsidR="00A55FEC" w:rsidRDefault="00A55FEC">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Se sostiene a medias en el tope al alquiler, y no en reforzar la protección del inquilino.</w:t>
      </w:r>
      <w:r>
        <w:rPr>
          <w:rFonts w:ascii="Calibri" w:eastAsia="Times New Roman" w:hAnsi="Calibri" w:cs="Calibri"/>
          <w:color w:val="1F2933"/>
          <w:sz w:val="21"/>
          <w:szCs w:val="21"/>
        </w:rPr>
        <w:t xml:space="preserve"> El tope da +5 con toda la evidencia y +1 con la firme; reforzar la protección frente al desahucio, −2 y −3.</w:t>
      </w:r>
    </w:p>
    <w:p w14:paraId="6625A4DA" w14:textId="77777777" w:rsidR="00A55FEC" w:rsidRDefault="00A55FEC">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vivienda pública ya cuenta, con un saldo modesto</w:t>
      </w:r>
      <w:r>
        <w:rPr>
          <w:rFonts w:ascii="Calibri" w:eastAsia="Times New Roman" w:hAnsi="Calibri" w:cs="Calibri"/>
          <w:color w:val="1F2933"/>
          <w:sz w:val="21"/>
          <w:szCs w:val="21"/>
        </w:rPr>
        <w:t xml:space="preserve"> (+2): funciona para quien la recibe, pero el efecto sobre el conjunto no está medido en España.</w:t>
      </w:r>
    </w:p>
    <w:p w14:paraId="4D323C7A" w14:textId="77777777" w:rsidR="00A55FEC" w:rsidRDefault="00A55FEC">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Tu paquete completo (escenario E7) mejora 11 resultados sociales y empeora 3</w:t>
      </w:r>
      <w:r>
        <w:rPr>
          <w:rFonts w:ascii="Calibri" w:eastAsia="Times New Roman" w:hAnsi="Calibri" w:cs="Calibri"/>
          <w:color w:val="1F2933"/>
          <w:sz w:val="21"/>
          <w:szCs w:val="21"/>
        </w:rPr>
        <w:t>: la oferta de alquiler habitual, la exigencia al seleccionar inquilinos y la discriminación en el acceso. Restringir solo los pisos turísticos (E1) da mejor saldo, porque no arrastra esos costes.</w:t>
      </w:r>
    </w:p>
    <w:p w14:paraId="1B46E2C6" w14:textId="77777777" w:rsidR="00A55FEC" w:rsidRDefault="00A55FEC">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Ninguna receta pura gana</w:t>
      </w:r>
      <w:r>
        <w:rPr>
          <w:rFonts w:ascii="Calibri" w:eastAsia="Times New Roman" w:hAnsi="Calibri" w:cs="Calibri"/>
          <w:color w:val="1F2933"/>
          <w:sz w:val="21"/>
          <w:szCs w:val="21"/>
        </w:rPr>
        <w:t>: solo intervención da +12 y solo mercado +11, frente a +13 de la mezcla; con evidencia firme, +2 y +3 frente a +8.</w:t>
      </w:r>
    </w:p>
    <w:p w14:paraId="0976803A" w14:textId="77777777" w:rsidR="00A55FEC" w:rsidRDefault="00A55FEC">
      <w:pPr>
        <w:shd w:val="clear" w:color="auto" w:fill="FEF5E7"/>
        <w:divId w:val="806163676"/>
        <w:rPr>
          <w:rFonts w:ascii="Calibri" w:eastAsia="Times New Roman" w:hAnsi="Calibri" w:cs="Calibri"/>
          <w:color w:val="1F2933"/>
          <w:sz w:val="21"/>
          <w:szCs w:val="21"/>
        </w:rPr>
      </w:pPr>
      <w:r>
        <w:rPr>
          <w:rFonts w:ascii="Calibri" w:eastAsia="Times New Roman" w:hAnsi="Calibri" w:cs="Calibri"/>
          <w:b/>
          <w:bCs/>
          <w:color w:val="1F2933"/>
          <w:sz w:val="21"/>
          <w:szCs w:val="21"/>
        </w:rPr>
        <w:t>Qué ha cambiado en esta revisión.</w:t>
      </w:r>
      <w:r>
        <w:rPr>
          <w:rFonts w:ascii="Calibri" w:eastAsia="Times New Roman" w:hAnsi="Calibri" w:cs="Calibri"/>
          <w:color w:val="1F2933"/>
          <w:sz w:val="21"/>
          <w:szCs w:val="21"/>
        </w:rPr>
        <w:t xml:space="preserve"> Dos correcciones, las dos a favor de las medidas de intervención y las dos motivadas por evidencia nueva. Primera: se ha localizado evidencia de que la vivienda social reduce la exclusión de quien accede a ella (una evaluación con asignación aleatoria en España y varias fuera), y la relación deja de ser hipótesis. Segunda: el mapa contaba como daño que se formasen más hogares cuando el alquiler se abarata, a través del déficit de viviendas. Todas las fuentes leídas lo tratan como un objetivo: el hogar que </w:t>
      </w:r>
      <w:r>
        <w:rPr>
          <w:rFonts w:ascii="Calibri" w:eastAsia="Times New Roman" w:hAnsi="Calibri" w:cs="Calibri"/>
          <w:color w:val="1F2933"/>
          <w:sz w:val="21"/>
          <w:szCs w:val="21"/>
        </w:rPr>
        <w:t xml:space="preserve">se forma es, sobre todo, quien sale de casa de sus padres o de un piso compartido. Ahora el déficit es un medio, cuyos efectos sobre el precio siguen contando, y el resultado social es que haya menos hogares que no llegan a formarse. Antes, en la quinta revisión, se había corregido la afirmación falsa de que no existían estudios sobre fondos. En la séptima se ha separado en el mapa el capital que construye alquiler nuevo del que compra vivienda existente, que estaban en una sola variable: limitar la compra </w:t>
      </w:r>
      <w:r>
        <w:rPr>
          <w:rFonts w:ascii="Calibri" w:eastAsia="Times New Roman" w:hAnsi="Calibri" w:cs="Calibri"/>
          <w:color w:val="1F2933"/>
          <w:sz w:val="21"/>
          <w:szCs w:val="21"/>
        </w:rPr>
        <w:t>ya no resta oferta nueva.</w:t>
      </w:r>
    </w:p>
    <w:p w14:paraId="2221F0B0" w14:textId="77777777" w:rsidR="00A55FEC" w:rsidRDefault="00A55FEC">
      <w:pPr>
        <w:shd w:val="clear" w:color="auto" w:fill="FEF5E7"/>
        <w:divId w:val="1449395606"/>
        <w:rPr>
          <w:rFonts w:ascii="Calibri" w:eastAsia="Times New Roman" w:hAnsi="Calibri" w:cs="Calibri"/>
          <w:color w:val="1F2933"/>
          <w:sz w:val="21"/>
          <w:szCs w:val="21"/>
        </w:rPr>
      </w:pPr>
      <w:r>
        <w:rPr>
          <w:rFonts w:ascii="Calibri" w:eastAsia="Times New Roman" w:hAnsi="Calibri" w:cs="Calibri"/>
          <w:b/>
          <w:bCs/>
          <w:color w:val="1F2933"/>
          <w:sz w:val="21"/>
          <w:szCs w:val="21"/>
        </w:rPr>
        <w:lastRenderedPageBreak/>
        <w:t>Cómo leerlo.</w:t>
      </w:r>
      <w:r>
        <w:rPr>
          <w:rFonts w:ascii="Calibri" w:eastAsia="Times New Roman" w:hAnsi="Calibri" w:cs="Calibri"/>
          <w:color w:val="1F2933"/>
          <w:sz w:val="21"/>
          <w:szCs w:val="21"/>
        </w:rPr>
        <w:t xml:space="preserve"> El mapa da sentido y plazo, no magnitud. «Mejora» significa que las vías causales más cortas empujan a favor; las más largas se informan aparte como efectos de vuelta. El ganador ha cambiado entre revisiones por diferencias de un punto: lo estable es que restringir el uso turístico y premiar el alquiler habitual están siempre arriba; la tercera pieza varía.</w:t>
      </w:r>
    </w:p>
    <w:p w14:paraId="0B1B4B95" w14:textId="77777777" w:rsidR="00A55FEC" w:rsidRDefault="00A55FEC">
      <w:pPr>
        <w:pStyle w:val="Ttulo2"/>
        <w:rPr>
          <w:rFonts w:ascii="Calibri" w:eastAsia="Times New Roman" w:hAnsi="Calibri" w:cs="Calibri"/>
        </w:rPr>
      </w:pPr>
      <w:r>
        <w:rPr>
          <w:rFonts w:ascii="Calibri" w:eastAsia="Times New Roman" w:hAnsi="Calibri" w:cs="Calibri"/>
        </w:rPr>
        <w:t>2. Qué se ha añadido al mapa</w:t>
      </w:r>
    </w:p>
    <w:tbl>
      <w:tblPr>
        <w:tblW w:w="5000" w:type="pct"/>
        <w:tblCellMar>
          <w:top w:w="15" w:type="dxa"/>
          <w:left w:w="15" w:type="dxa"/>
          <w:bottom w:w="15" w:type="dxa"/>
          <w:right w:w="15" w:type="dxa"/>
        </w:tblCellMar>
        <w:tblLook w:val="04A0" w:firstRow="1" w:lastRow="0" w:firstColumn="1" w:lastColumn="0" w:noHBand="0" w:noVBand="1"/>
      </w:tblPr>
      <w:tblGrid>
        <w:gridCol w:w="3442"/>
        <w:gridCol w:w="5450"/>
        <w:gridCol w:w="5450"/>
      </w:tblGrid>
      <w:tr w:rsidR="00000000" w14:paraId="0E71B176" w14:textId="77777777" w:rsidTr="00A55FE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2F5D1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Lo que planteaste</w:t>
            </w:r>
          </w:p>
        </w:tc>
        <w:tc>
          <w:tcPr>
            <w:tcW w:w="1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12D330"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Cómo ha entrado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3C82C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qué respaldo</w:t>
            </w:r>
          </w:p>
        </w:tc>
      </w:tr>
      <w:tr w:rsidR="00000000" w14:paraId="0915611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B1BE6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auge del turismo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25AA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Llegadas de turistas internacionales, como condición externa, y la ventaja de ingresos del alquiler turístico sobre el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C54F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96,8 millones de turistas en 2025 frente a 83,5 en 2019; las noches en alojamientos de plataformas pasan de 105,6 a 189,5 millones (INE). Una vivienda ingresa 2,5 veces más en turístico (Exceltur, 2022, parte interesada). Que esa ventaja provoca conversión lo afirman el Banco de España y Exceltur: confianza media.</w:t>
            </w:r>
          </w:p>
        </w:tc>
      </w:tr>
      <w:tr w:rsidR="00000000" w14:paraId="32EE7D2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39F6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expulsión de los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BA71A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sin orden judicial, como resultado de los hogares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A786E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Madrid y Barcelona, cerca del 31 % de las últimas mudanzas de inquilinos fueron forzosas, y solo el 1,5 % por orden judicial (IDRA, encuesta no probabilística, instituto próximo al movimiento inquilino). Es la única medición.</w:t>
            </w:r>
          </w:p>
        </w:tc>
      </w:tr>
      <w:tr w:rsidR="00000000" w14:paraId="755E62D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44B82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Fondos que compran bloques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58BE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Compraventas de edificios residenciales enteros, y su efecto sobre las mudanzas forzosas.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85A02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 217 en 2024 y 149 en 2025. El efecto sobre los inquilinos se apoya en dos casos documentados en prensa y en una estimación del Sindicato de Inquilinas: confianza baja.</w:t>
            </w:r>
          </w:p>
        </w:tc>
      </w:tr>
      <w:tr w:rsidR="00000000" w14:paraId="1D6C2E7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02CE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Frenar a socimis y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B579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Límite a la compra de vivienda por inversores (nueva) y ventajas fiscales de los vehículos de inversión (ya estaba).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F65D7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Países Bajos: la prohibición de comprar para alquilar redujo las compras de inversores un 75 %, no movió los precios y subió los alquileres un 4 % en Róterdam. En España no se ha aplicado nada parecido.</w:t>
            </w:r>
          </w:p>
        </w:tc>
      </w:tr>
      <w:tr w:rsidR="00000000" w14:paraId="18776F3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405B3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Que no se vacíen los bloques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F7EC5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preferente de la Administración (tanteo y retracto).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3FCD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Cataluña adquirió 662 viviendas en 2024 por 49,9 millones de euros; se ejerce en torno al 2 % de los expedientes.</w:t>
            </w:r>
          </w:p>
        </w:tc>
      </w:tr>
      <w:tr w:rsidR="00000000" w14:paraId="79BBA90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F16F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Que la regulación no se esquive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471E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desvío del turístico al alquiler de temporada, y el efecto de regular la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5AE2C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22 % de las solicitudes de registro de corta duración son de temporada, y el 83 % en la Comunidad de Madrid (Ministerio de Vivienda). En Barcelona, los contratos de temporada caen un 53 % coincidiendo con su regulación (Observatori Metropolità de l’Habitatge).</w:t>
            </w:r>
          </w:p>
        </w:tc>
      </w:tr>
      <w:tr w:rsidR="00000000" w14:paraId="6FC7FB8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4FD0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Qué hacen los fondos con lo que compran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BB4A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Dos relaciones nuevas: los propietarios institucionales suben la renta de lo que </w:t>
            </w:r>
            <w:r>
              <w:rPr>
                <w:rFonts w:ascii="Calibri" w:eastAsia="Times New Roman" w:hAnsi="Calibri" w:cs="Calibri"/>
                <w:color w:val="1F2933"/>
                <w:sz w:val="18"/>
                <w:szCs w:val="18"/>
              </w:rPr>
              <w:lastRenderedPageBreak/>
              <w:t>compran más que otros caseros, y rotan a los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4E0FF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lastRenderedPageBreak/>
              <w:t xml:space="preserve">Tres estudios de caso españoles revisados por pares: en los bloques de vivienda pública de Carabanchel </w:t>
            </w:r>
            <w:r>
              <w:rPr>
                <w:rFonts w:ascii="Calibri" w:eastAsia="Times New Roman" w:hAnsi="Calibri" w:cs="Calibri"/>
                <w:color w:val="1F2933"/>
                <w:sz w:val="18"/>
                <w:szCs w:val="18"/>
              </w:rPr>
              <w:lastRenderedPageBreak/>
              <w:t>comprados por Blackstone, los ingresos por alquiler suben un 38 % en tres años y más del 40 % de los inquilinos tiene contratos de menos de un año. En Irlanda, con estimación causal, suben el alquiler 4,1 puntos más que otros caseros. Confianza media y baja. Se mantiene, con fuente, que también añaden oferta de alquiler.</w:t>
            </w:r>
          </w:p>
        </w:tc>
      </w:tr>
      <w:tr w:rsidR="00000000" w14:paraId="3477A3F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0A5B9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lastRenderedPageBreak/>
              <w:t>El alquiler de 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68840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Variable propia, con sus efectos: más sobreocupación y menos esfuerzo medido.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9CCD2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cifra oficial. Las habitaciones anunciadas suben un 85 % desde 2022 (portal inmobiliario). Los inquilinos en vivienda sobreocupada pasan del 15,4 % al 20,5 % entre 2021 y 2025 (Eurostat). Desde el 8 de octubre de 2026 un decreto-ley las somete a la ley de arrendamientos, pendiente de convalidación.</w:t>
            </w:r>
          </w:p>
        </w:tc>
      </w:tr>
      <w:tr w:rsidR="00000000" w14:paraId="433CEEC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D92CA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que están dentro y los que quieren entrar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9366F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sobreprecio de las viviendas que entran al mercado sobre las ya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E249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16,5 % en 2024 frente a 6,2 % en 2020 (Banco de España). Los jóvenes de 25 a 34 años que viven con sus padres pasan del 46,0 % al 50,2 %.</w:t>
            </w:r>
          </w:p>
        </w:tc>
      </w:tr>
    </w:tbl>
    <w:p w14:paraId="13A07ABF" w14:textId="77777777" w:rsidR="00A55FEC" w:rsidRDefault="00A55FEC">
      <w:pPr>
        <w:pStyle w:val="Ttulo2"/>
        <w:rPr>
          <w:rFonts w:ascii="Calibri" w:eastAsia="Times New Roman" w:hAnsi="Calibri" w:cs="Calibri"/>
        </w:rPr>
      </w:pPr>
      <w:r>
        <w:rPr>
          <w:rFonts w:ascii="Calibri" w:eastAsia="Times New Roman" w:hAnsi="Calibri" w:cs="Calibri"/>
        </w:rPr>
        <w:t>3. Tus tres casos: qué se sabe y qué no</w:t>
      </w:r>
    </w:p>
    <w:tbl>
      <w:tblPr>
        <w:tblW w:w="5000" w:type="pct"/>
        <w:tblCellMar>
          <w:top w:w="15" w:type="dxa"/>
          <w:left w:w="15" w:type="dxa"/>
          <w:bottom w:w="15" w:type="dxa"/>
          <w:right w:w="15" w:type="dxa"/>
        </w:tblCellMar>
        <w:tblLook w:val="04A0" w:firstRow="1" w:lastRow="0" w:firstColumn="1" w:lastColumn="0" w:noHBand="0" w:noVBand="1"/>
      </w:tblPr>
      <w:tblGrid>
        <w:gridCol w:w="3156"/>
        <w:gridCol w:w="5593"/>
        <w:gridCol w:w="5593"/>
      </w:tblGrid>
      <w:tr w:rsidR="00000000" w14:paraId="29456C1F" w14:textId="77777777" w:rsidTr="00A55FE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E91A4F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Caso</w:t>
            </w:r>
          </w:p>
        </w:tc>
        <w:tc>
          <w:tcPr>
            <w:tcW w:w="19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47163D5"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Lo que hay</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0F914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Lo que nadie ha medido</w:t>
            </w:r>
          </w:p>
        </w:tc>
      </w:tr>
      <w:tr w:rsidR="00000000" w14:paraId="1C52937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51A9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 Heredo un piso vacío y lo pongo como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0248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 inscriben unas 208.000 herencias de vivienda al año (INE, 2025). Entre el 64 % y el 70 % de los anfitriones tiene un solo anuncio, pero suman entre el 14 % y el 35 % de las viviendas enteras de corta estancia, según la ciudad (cálculo sobre los ficheros de Inside Airbnb de septiembre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E571F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Qué uso se da a la vivienda heredada. La única encuesta distingue venta de alquiler, no el uso turístico.</w:t>
            </w:r>
          </w:p>
        </w:tc>
      </w:tr>
      <w:tr w:rsidR="00000000" w14:paraId="5BFDCF9C"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EFD13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 Echo a mis inquilinos para pasar el piso a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9D90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Barcelona, 100 anuncios más reducen en 80 los hogares del área (Garcia-López et al., con identificación causal).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909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Cuántos contratos se dejan de renovar por este motivo. El estudio no distingue inquilinos de propietarios.</w:t>
            </w:r>
          </w:p>
        </w:tc>
      </w:tr>
      <w:tr w:rsidR="00000000" w14:paraId="182BC68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126D4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 Vendo el bloque a un fondo, que echa a todos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F76CA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Compraventas de edificios en Barcelona (149 en 2025). En Tribulete 7, en Madrid, de 52 familias quedan 15. En Barcelona, el 56 % de las 10.058 licencias turísticas es de personas jurídicas, y más de un tercio está en 216 edificios con diez o más (Cocola-Gant et al., 2025). Una tesis doctoral (Leeds, 2023) describe a inversores locales que compran edificios céntricos, desplazan a los inquilinos y reforman para vender o alquilar por días.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1002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Cuántos edificios comprados cambian de uso y cuántos inquilinos salen. En Barcelona las licencias están congeladas desde 2014: lo medido es concentración de viviendas que ya eran turísticas. Los grandes fondos no han entrado en ese negocio: ningún propietario supera los 200 apartamentos turísticos.</w:t>
            </w:r>
          </w:p>
        </w:tc>
      </w:tr>
    </w:tbl>
    <w:p w14:paraId="626CE58A"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Consecuencia para el modelo.</w:t>
      </w:r>
      <w:r>
        <w:rPr>
          <w:rFonts w:ascii="Calibri" w:hAnsi="Calibri" w:cs="Calibri"/>
          <w:color w:val="1F2933"/>
          <w:sz w:val="21"/>
          <w:szCs w:val="21"/>
        </w:rPr>
        <w:t xml:space="preserve"> Las tres vías están en el mapa. En las dos primeras, lo que las activa sigue siendo hipótesis, porque no hay fuente que las mida. La tercera ya cuenta: la compra de edificios enteros empuja el uso turístico (confianza media) y las mudanzas forzosas. Aun así, una medida no se puede dirigir a un caso concreto: restringir el uso turístico actúa sobre el total. La evidencia dice que la restricción expulsa sobre todo al anfitrión ocasional y deja casi intacto al operador profesional (revisión de 429 estudios, F</w:t>
      </w:r>
      <w:r>
        <w:rPr>
          <w:rFonts w:ascii="Calibri" w:hAnsi="Calibri" w:cs="Calibri"/>
          <w:color w:val="1F2933"/>
          <w:sz w:val="21"/>
          <w:szCs w:val="21"/>
        </w:rPr>
        <w:t>edea, 2026), lo que sugiere, sin probarlo, que tu caso 1 responde más a la norma que tu caso 3.</w:t>
      </w:r>
    </w:p>
    <w:p w14:paraId="06AED992" w14:textId="77777777" w:rsidR="00A55FEC" w:rsidRDefault="00A55FEC">
      <w:pPr>
        <w:pStyle w:val="Ttulo2"/>
        <w:rPr>
          <w:rFonts w:ascii="Calibri" w:eastAsia="Times New Roman" w:hAnsi="Calibri" w:cs="Calibri"/>
        </w:rPr>
      </w:pPr>
      <w:r>
        <w:rPr>
          <w:rFonts w:ascii="Calibri" w:eastAsia="Times New Roman" w:hAnsi="Calibri" w:cs="Calibri"/>
        </w:rPr>
        <w:t>4. Cómo se mide el coste social</w:t>
      </w:r>
    </w:p>
    <w:p w14:paraId="7CDD61DE" w14:textId="77777777" w:rsidR="00A55FEC" w:rsidRDefault="00A55FEC">
      <w:pPr>
        <w:pStyle w:val="NormalWeb"/>
        <w:rPr>
          <w:rFonts w:ascii="Calibri" w:hAnsi="Calibri" w:cs="Calibri"/>
          <w:color w:val="1F2933"/>
          <w:sz w:val="21"/>
          <w:szCs w:val="21"/>
        </w:rPr>
      </w:pPr>
      <w:r>
        <w:rPr>
          <w:rFonts w:ascii="Calibri" w:hAnsi="Calibri" w:cs="Calibri"/>
          <w:color w:val="1F2933"/>
          <w:sz w:val="21"/>
          <w:szCs w:val="21"/>
        </w:rPr>
        <w:t>Cuentan 15 resultados, los que describen cómo viven las personas:</w:t>
      </w:r>
    </w:p>
    <w:tbl>
      <w:tblPr>
        <w:tblW w:w="5000" w:type="pct"/>
        <w:tblCellMar>
          <w:top w:w="15" w:type="dxa"/>
          <w:left w:w="15" w:type="dxa"/>
          <w:bottom w:w="15" w:type="dxa"/>
          <w:right w:w="15" w:type="dxa"/>
        </w:tblCellMar>
        <w:tblLook w:val="04A0" w:firstRow="1" w:lastRow="0" w:firstColumn="1" w:lastColumn="0" w:noHBand="0" w:noVBand="1"/>
      </w:tblPr>
      <w:tblGrid>
        <w:gridCol w:w="3155"/>
        <w:gridCol w:w="11187"/>
      </w:tblGrid>
      <w:tr w:rsidR="00000000" w14:paraId="18537680" w14:textId="77777777" w:rsidTr="00A55FE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008BD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cuenta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00A8A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Resultados del mapa</w:t>
            </w:r>
          </w:p>
        </w:tc>
      </w:tr>
      <w:tr w:rsidR="00000000" w14:paraId="3A7D066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F5BFD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Poder pagar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CCEB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para pagar el alquiler; precio del alquiler; esfuerzo para comprar; precio de compra.</w:t>
            </w:r>
          </w:p>
        </w:tc>
      </w:tr>
      <w:tr w:rsidR="00000000" w14:paraId="51402B8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6AAB2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Tener dónde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34D0E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parque de alquiler social; sobreocupación de las viviendas alquiladas.</w:t>
            </w:r>
          </w:p>
        </w:tc>
      </w:tr>
      <w:tr w:rsidR="00000000" w14:paraId="5229E7F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D2B78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ser expulsado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D8907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 desplazamiento de residentes de los centros; mudanzas forzosas sin orden judicial.</w:t>
            </w:r>
          </w:p>
        </w:tc>
      </w:tr>
      <w:tr w:rsidR="00000000" w14:paraId="1EB543A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B4A8F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ser descartado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C2514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 discriminación en el acceso al alquiler.</w:t>
            </w:r>
          </w:p>
        </w:tc>
      </w:tr>
      <w:tr w:rsidR="00000000" w14:paraId="10AE91A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F100E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Poder empezar y no quedarse atrás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BBC6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 hogares que no llegan a formarse; brecha de riqueza entre propietarios e inquilinos.</w:t>
            </w:r>
          </w:p>
        </w:tc>
      </w:tr>
    </w:tbl>
    <w:p w14:paraId="14167D53"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Quedan fuera del objetivo</w:t>
      </w:r>
      <w:r>
        <w:rPr>
          <w:rFonts w:ascii="Calibri" w:hAnsi="Calibri" w:cs="Calibri"/>
          <w:color w:val="1F2933"/>
          <w:sz w:val="21"/>
          <w:szCs w:val="21"/>
        </w:rPr>
        <w:t>, y se informan aparte: la rentabilidad y el riesgo del arrendador; los resultados de los turistas; y las viviendas iniciadas y terminadas y el déficit de viviendas, que son un medio y no un fin (si empeoran, su efecto llega al precio, que sí cuenta). También las viviendas en alquiler no habitual: son a la vez el alojamiento del estudiante y la vía por la que se esquiva la regulación, y contarlas como un bien habría premiado esa fuga.</w:t>
      </w:r>
    </w:p>
    <w:p w14:paraId="3DD2A1D5"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Regla de ordenación.</w:t>
      </w:r>
      <w:r>
        <w:rPr>
          <w:rFonts w:ascii="Calibri" w:hAnsi="Calibri" w:cs="Calibri"/>
          <w:color w:val="1F2933"/>
          <w:sz w:val="21"/>
          <w:szCs w:val="21"/>
        </w:rPr>
        <w:t xml:space="preserve"> Primero, el mayor saldo entre resultados sociales que mejoran y que empeoran en primera ronda; después, menos resultados que empeoran; menos con señales contrarias; menos mejoras con efectos de vuelta en contra; mayor saldo con evidencia media o alta; menos medidas. Se prueban las 61466 combinaciones de hasta 5 medidas entre 16 palancas.</w:t>
      </w:r>
    </w:p>
    <w:p w14:paraId="5497498F" w14:textId="77777777" w:rsidR="00A55FEC" w:rsidRDefault="00A55FEC">
      <w:pPr>
        <w:pStyle w:val="Ttulo2"/>
        <w:rPr>
          <w:rFonts w:ascii="Calibri" w:eastAsia="Times New Roman" w:hAnsi="Calibri" w:cs="Calibri"/>
        </w:rPr>
      </w:pPr>
      <w:r>
        <w:rPr>
          <w:rFonts w:ascii="Calibri" w:eastAsia="Times New Roman" w:hAnsi="Calibri" w:cs="Calibri"/>
        </w:rPr>
        <w:t>5. La tesis a prueba: intervención frente a mercado</w:t>
      </w:r>
    </w:p>
    <w:p w14:paraId="4AEDE357" w14:textId="77777777" w:rsidR="00A55FEC" w:rsidRDefault="00A55FEC">
      <w:pPr>
        <w:pStyle w:val="NormalWeb"/>
        <w:rPr>
          <w:rFonts w:ascii="Calibri" w:hAnsi="Calibri" w:cs="Calibri"/>
          <w:color w:val="1F2933"/>
          <w:sz w:val="21"/>
          <w:szCs w:val="21"/>
        </w:rPr>
      </w:pPr>
      <w:r>
        <w:rPr>
          <w:rFonts w:ascii="Calibri" w:hAnsi="Calibri" w:cs="Calibri"/>
          <w:color w:val="1F2933"/>
          <w:sz w:val="21"/>
          <w:szCs w:val="21"/>
        </w:rPr>
        <w:t xml:space="preserve">Cada medida se clasifica en una familia. </w:t>
      </w:r>
      <w:r>
        <w:rPr>
          <w:rFonts w:ascii="Calibri" w:hAnsi="Calibri" w:cs="Calibri"/>
          <w:b/>
          <w:bCs/>
          <w:color w:val="1F2933"/>
          <w:sz w:val="21"/>
          <w:szCs w:val="21"/>
        </w:rPr>
        <w:t>Intervención</w:t>
      </w:r>
      <w:r>
        <w:rPr>
          <w:rFonts w:ascii="Calibri" w:hAnsi="Calibri" w:cs="Calibri"/>
          <w:color w:val="1F2933"/>
          <w:sz w:val="21"/>
          <w:szCs w:val="21"/>
        </w:rPr>
        <w:t xml:space="preserve">: regula, limita, grava o sustituye al mercado. </w:t>
      </w:r>
      <w:r>
        <w:rPr>
          <w:rFonts w:ascii="Calibri" w:hAnsi="Calibri" w:cs="Calibri"/>
          <w:b/>
          <w:bCs/>
          <w:color w:val="1F2933"/>
          <w:sz w:val="21"/>
          <w:szCs w:val="21"/>
        </w:rPr>
        <w:t>Mercado</w:t>
      </w:r>
      <w:r>
        <w:rPr>
          <w:rFonts w:ascii="Calibri" w:hAnsi="Calibri" w:cs="Calibri"/>
          <w:color w:val="1F2933"/>
          <w:sz w:val="21"/>
          <w:szCs w:val="21"/>
        </w:rPr>
        <w:t>: desregula o incentiva a la oferta privada. Se busca el mejor paquete de cada familia con la misma regla.</w:t>
      </w:r>
    </w:p>
    <w:tbl>
      <w:tblPr>
        <w:tblW w:w="5000" w:type="pct"/>
        <w:tblCellMar>
          <w:top w:w="15" w:type="dxa"/>
          <w:left w:w="15" w:type="dxa"/>
          <w:bottom w:w="15" w:type="dxa"/>
          <w:right w:w="15" w:type="dxa"/>
        </w:tblCellMar>
        <w:tblLook w:val="04A0" w:firstRow="1" w:lastRow="0" w:firstColumn="1" w:lastColumn="0" w:noHBand="0" w:noVBand="1"/>
      </w:tblPr>
      <w:tblGrid>
        <w:gridCol w:w="2008"/>
        <w:gridCol w:w="4876"/>
        <w:gridCol w:w="1004"/>
        <w:gridCol w:w="1004"/>
        <w:gridCol w:w="1147"/>
        <w:gridCol w:w="861"/>
        <w:gridCol w:w="1291"/>
        <w:gridCol w:w="2151"/>
      </w:tblGrid>
      <w:tr w:rsidR="00000000" w14:paraId="59FD8230" w14:textId="77777777" w:rsidTr="00A55FE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3376C2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 de medidas</w:t>
            </w:r>
          </w:p>
        </w:tc>
        <w:tc>
          <w:tcPr>
            <w:tcW w:w="1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03BFA9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 paquete de la familia</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8085894"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3AFFAE"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6F8ED9"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C81677"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212A1F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FDCF059"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resultados sociales empeoran</w:t>
            </w:r>
          </w:p>
        </w:tc>
      </w:tr>
      <w:tr w:rsidR="00000000" w14:paraId="4EFDEFC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784F0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Cualquiera (se pueden mezclar)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C35A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23226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EBC85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71CC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C435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48104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A4953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6559BE6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E526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F54CC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E76E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757B1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006AD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F7E3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9E2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164B7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4B391C7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EACC7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B2B08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2BB0F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31DA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A05B3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965A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1D11A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3C168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bl>
    <w:p w14:paraId="6906294B" w14:textId="77777777" w:rsidR="00A55FEC" w:rsidRDefault="00A55FEC">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Gana la mezcla.</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+13 la mezcla, +12 solo intervención, +11 solo mercado. La pieza fija es restringir el uso turístico; las otras dos varían entre vivienda pública, apoyo al pequeño propietario y estabilidad de las reglas.</w:t>
      </w:r>
    </w:p>
    <w:p w14:paraId="2C6B0C32" w14:textId="77777777" w:rsidR="00A55FEC" w:rsidRDefault="00A55FEC">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Con evidencia firme la distancia se abre</w:t>
      </w:r>
      <w:r>
        <w:rPr>
          <w:rFonts w:ascii="Calibri" w:eastAsia="Times New Roman" w:hAnsi="Calibri" w:cs="Calibri"/>
          <w:color w:val="1F2933"/>
          <w:sz w:val="21"/>
          <w:szCs w:val="21"/>
        </w:rPr>
        <w:t>: +8 la mezcla, +3 solo mercado, +2 solo intervención. Buena parte de las medidas de intervención se apoya hoy en evidencia de confianza baja, de otro país o disputada; no es que esté demostrado que no funcionen.</w:t>
      </w:r>
    </w:p>
    <w:p w14:paraId="21BFADDC" w14:textId="77777777" w:rsidR="00A55FEC" w:rsidRDefault="00A55FEC">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mejor paquete solo de intervención no es el que tú planteas.</w:t>
      </w:r>
      <w:r>
        <w:rPr>
          <w:rFonts w:ascii="Calibri" w:eastAsia="Times New Roman" w:hAnsi="Calibri" w:cs="Calibri"/>
          <w:color w:val="1F2933"/>
          <w:sz w:val="21"/>
          <w:szCs w:val="21"/>
        </w:rPr>
        <w:t xml:space="preserve"> Es endurecer los criterios hipotecarios y crear una garantía pública que pague la renta al pequeño propietario.</w:t>
      </w:r>
    </w:p>
    <w:p w14:paraId="517DA6A4" w14:textId="77777777" w:rsidR="00A55FEC" w:rsidRDefault="00A55FEC">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Dentro del mercado, no todo vale.</w:t>
      </w:r>
      <w:r>
        <w:rPr>
          <w:rFonts w:ascii="Calibri" w:eastAsia="Times New Roman" w:hAnsi="Calibri" w:cs="Calibri"/>
          <w:color w:val="1F2933"/>
          <w:sz w:val="21"/>
          <w:szCs w:val="21"/>
        </w:rPr>
        <w:t xml:space="preserve"> Liberalizar el uso turístico (−10) y mejorar el trato fiscal a socimis y fondos (−7) son las dos peores medidas de las 26.</w:t>
      </w:r>
    </w:p>
    <w:p w14:paraId="5C6EB3A0" w14:textId="77777777" w:rsidR="00A55FEC" w:rsidRDefault="00A55FEC">
      <w:pPr>
        <w:pStyle w:val="Ttulo2"/>
        <w:rPr>
          <w:rFonts w:ascii="Calibri" w:eastAsia="Times New Roman" w:hAnsi="Calibri" w:cs="Calibri"/>
        </w:rPr>
      </w:pPr>
      <w:r>
        <w:rPr>
          <w:rFonts w:ascii="Calibri" w:eastAsia="Times New Roman" w:hAnsi="Calibri" w:cs="Calibri"/>
        </w:rPr>
        <w:t>6. Tu paquete, comparado con los demás escenarios</w:t>
      </w:r>
    </w:p>
    <w:tbl>
      <w:tblPr>
        <w:tblW w:w="5000" w:type="pct"/>
        <w:tblCellMar>
          <w:top w:w="15" w:type="dxa"/>
          <w:left w:w="15" w:type="dxa"/>
          <w:bottom w:w="15" w:type="dxa"/>
          <w:right w:w="15" w:type="dxa"/>
        </w:tblCellMar>
        <w:tblLook w:val="04A0" w:firstRow="1" w:lastRow="0" w:firstColumn="1" w:lastColumn="0" w:noHBand="0" w:noVBand="1"/>
      </w:tblPr>
      <w:tblGrid>
        <w:gridCol w:w="4303"/>
        <w:gridCol w:w="1434"/>
        <w:gridCol w:w="1147"/>
        <w:gridCol w:w="1147"/>
        <w:gridCol w:w="861"/>
        <w:gridCol w:w="1578"/>
        <w:gridCol w:w="3872"/>
      </w:tblGrid>
      <w:tr w:rsidR="00000000" w14:paraId="35468FBE" w14:textId="77777777" w:rsidTr="00A55FEC">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EDD6FF"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85DAE4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Resultados sociales que mejoran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F2E79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Que 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ABDFAE"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5B0DCC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1335A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FD522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resultados sociales empeoran</w:t>
            </w:r>
          </w:p>
        </w:tc>
      </w:tr>
      <w:tr w:rsidR="00000000" w14:paraId="7D54FC8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054E8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A371F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578BD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9D58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4CAD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B0E02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(8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942B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3724476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67AD2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r>
              <w:rPr>
                <w:rFonts w:ascii="Calibri" w:eastAsia="Times New Roman" w:hAnsi="Calibri" w:cs="Calibri"/>
                <w:color w:val="1F2933"/>
                <w:sz w:val="18"/>
                <w:szCs w:val="18"/>
              </w:rPr>
              <w:t xml:space="preserve"> 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A149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A5E9B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04A0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282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CC5E5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(8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4B2DA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5B02F31C"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D3F01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r>
              <w:rPr>
                <w:rFonts w:ascii="Calibri" w:eastAsia="Times New Roman" w:hAnsi="Calibri" w:cs="Calibri"/>
                <w:color w:val="1F2933"/>
                <w:sz w:val="18"/>
                <w:szCs w:val="18"/>
              </w:rPr>
              <w:t xml:space="preserve"> 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AD981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B165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8FDEF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90F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EF2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(8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22181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52355AA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3561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E652E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085C3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C7599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4CFF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6C30D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(7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99B15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526D262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E2AE6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r>
              <w:rPr>
                <w:rFonts w:ascii="Calibri" w:eastAsia="Times New Roman" w:hAnsi="Calibri" w:cs="Calibri"/>
                <w:color w:val="1F2933"/>
                <w:sz w:val="18"/>
                <w:szCs w:val="18"/>
              </w:rPr>
              <w:t xml:space="preserve"> 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4A60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6773C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D0FE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D059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0A802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E320C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52E0FA0C"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5D279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r>
              <w:rPr>
                <w:rFonts w:ascii="Calibri" w:eastAsia="Times New Roman" w:hAnsi="Calibri" w:cs="Calibri"/>
                <w:color w:val="1F2933"/>
                <w:sz w:val="18"/>
                <w:szCs w:val="18"/>
              </w:rPr>
              <w:t xml:space="preserve"> 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C4B70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D717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E69C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09E6E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EC89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(7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5A725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Exigencia en la selección de inquilinos; Discriminación en el acceso al alquiler</w:t>
            </w:r>
          </w:p>
        </w:tc>
      </w:tr>
      <w:tr w:rsidR="00000000" w14:paraId="75D3942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E590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r>
              <w:rPr>
                <w:rFonts w:ascii="Calibri" w:eastAsia="Times New Roman" w:hAnsi="Calibri" w:cs="Calibri"/>
                <w:color w:val="1F2933"/>
                <w:sz w:val="18"/>
                <w:szCs w:val="18"/>
              </w:rPr>
              <w:t xml:space="preserve"> 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D3251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21D2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650D1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37CA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C2CC7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(7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2AE65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Exigencia en la selección de inquilinos; Discriminación en el acceso al alquiler</w:t>
            </w:r>
          </w:p>
        </w:tc>
      </w:tr>
      <w:tr w:rsidR="00000000" w14:paraId="3977A9A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E6D83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r>
              <w:rPr>
                <w:rFonts w:ascii="Calibri" w:eastAsia="Times New Roman" w:hAnsi="Calibri" w:cs="Calibri"/>
                <w:color w:val="1F2933"/>
                <w:sz w:val="18"/>
                <w:szCs w:val="18"/>
              </w:rPr>
              <w:t xml:space="preserve"> 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014CD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ED709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04B88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2705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081B4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0AAC0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 Precio de compra de la vivienda; Brecha de riqueza entre propietarios e inquilinos</w:t>
            </w:r>
          </w:p>
        </w:tc>
      </w:tr>
      <w:tr w:rsidR="00000000" w14:paraId="143114C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B4E6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r>
              <w:rPr>
                <w:rFonts w:ascii="Calibri" w:eastAsia="Times New Roman" w:hAnsi="Calibri" w:cs="Calibri"/>
                <w:color w:val="1F2933"/>
                <w:sz w:val="18"/>
                <w:szCs w:val="18"/>
              </w:rPr>
              <w:t xml:space="preserve"> 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6E83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382D3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2ACA7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A6991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4AE6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(4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7EBD4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Exigencia en la selección de inquilinos</w:t>
            </w:r>
          </w:p>
        </w:tc>
      </w:tr>
      <w:tr w:rsidR="00000000" w14:paraId="3E7A79C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F60B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r>
              <w:rPr>
                <w:rFonts w:ascii="Calibri" w:eastAsia="Times New Roman" w:hAnsi="Calibri" w:cs="Calibri"/>
                <w:color w:val="1F2933"/>
                <w:sz w:val="18"/>
                <w:szCs w:val="18"/>
              </w:rPr>
              <w:t xml:space="preserve"> 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25049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2E31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20A1A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545A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ADD8E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8045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 Precio de compra de la vivienda; Brecha de riqueza entre propietarios e inquilinos</w:t>
            </w:r>
          </w:p>
        </w:tc>
      </w:tr>
      <w:tr w:rsidR="00000000" w14:paraId="49AF621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9FC0B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r>
              <w:rPr>
                <w:rFonts w:ascii="Calibri" w:eastAsia="Times New Roman" w:hAnsi="Calibri" w:cs="Calibri"/>
                <w:color w:val="1F2933"/>
                <w:sz w:val="18"/>
                <w:szCs w:val="18"/>
              </w:rPr>
              <w:t xml:space="preserve"> 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B0B6A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5CB2F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495B7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763A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C72C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(3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F356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 Precio de compra de la vivienda; Brecha de riqueza entre propietarios e inquilinos</w:t>
            </w:r>
          </w:p>
        </w:tc>
      </w:tr>
      <w:tr w:rsidR="00000000" w14:paraId="1733181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51F6D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r>
              <w:rPr>
                <w:rFonts w:ascii="Calibri" w:eastAsia="Times New Roman" w:hAnsi="Calibri" w:cs="Calibri"/>
                <w:color w:val="1F2933"/>
                <w:sz w:val="18"/>
                <w:szCs w:val="18"/>
              </w:rPr>
              <w:t xml:space="preserve"> Referencia: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8BAE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A70D5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B822F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214AF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45062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(3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08B5C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 Mudanzas forzosas de inquilinos sin orden judicial; Esfuerzo de los hogares para comprar; Precio de compra de la vivienda; Brecha de riqueza entre propietarios e inquilinos</w:t>
            </w:r>
          </w:p>
        </w:tc>
      </w:tr>
    </w:tbl>
    <w:p w14:paraId="1E311BE7"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Por qué E7 no es el mejor con tu propio criterio.</w:t>
      </w:r>
      <w:r>
        <w:rPr>
          <w:rFonts w:ascii="Calibri" w:hAnsi="Calibri" w:cs="Calibri"/>
          <w:color w:val="1F2933"/>
          <w:sz w:val="21"/>
          <w:szCs w:val="21"/>
        </w:rPr>
        <w:t xml:space="preserve"> </w:t>
      </w:r>
      <w:r>
        <w:rPr>
          <w:rFonts w:ascii="Calibri" w:hAnsi="Calibri" w:cs="Calibri"/>
          <w:color w:val="1F2933"/>
          <w:sz w:val="21"/>
          <w:szCs w:val="21"/>
        </w:rPr>
        <w:t>Con toda la evidencia da +8, y con la firme, +6. Dos de sus piezas llevan un coste con fuente:</w:t>
      </w:r>
    </w:p>
    <w:p w14:paraId="5D084110" w14:textId="77777777" w:rsidR="00A55FEC" w:rsidRDefault="00A55FEC">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tope al alquiler</w:t>
      </w:r>
      <w:r>
        <w:rPr>
          <w:rFonts w:ascii="Calibri" w:eastAsia="Times New Roman" w:hAnsi="Calibri" w:cs="Calibri"/>
          <w:color w:val="1F2933"/>
          <w:sz w:val="21"/>
          <w:szCs w:val="21"/>
        </w:rPr>
        <w:t xml:space="preserve"> baja el precio y el esfuerzo de quien tiene contrato, con confianza alta; reduce la oferta de alquiler habitual y eleva la exigencia al seleccionar inquilinos. La relación con la oferta está disputada: dos estudios con identificación causal sobre Cataluña llegan a conclusiones opuestas, y en 2026 la Generalitat registra más contratos vigentes mientras los portales registran un 22 % menos de anuncios. Aun disputada, conserva confianza media y cuenta.</w:t>
      </w:r>
    </w:p>
    <w:p w14:paraId="20B4DBFB" w14:textId="77777777" w:rsidR="00A55FEC" w:rsidRDefault="00A55FEC">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Reforzar la protección del inquilino</w:t>
      </w:r>
      <w:r>
        <w:rPr>
          <w:rFonts w:ascii="Calibri" w:eastAsia="Times New Roman" w:hAnsi="Calibri" w:cs="Calibri"/>
          <w:color w:val="1F2933"/>
          <w:sz w:val="21"/>
          <w:szCs w:val="21"/>
        </w:rPr>
        <w:t xml:space="preserve"> reduce la exclusión y las mudanzas forzosas, y eleva la discriminación en el acceso: quien ya está dentro queda más protegido y quien busca piso lo tiene más difícil. Las dos caras tienen confianza baja.</w:t>
      </w:r>
    </w:p>
    <w:p w14:paraId="5567E581"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Las piezas sobre fondos y socimis suman.</w:t>
      </w:r>
      <w:r>
        <w:rPr>
          <w:rFonts w:ascii="Calibri" w:hAnsi="Calibri" w:cs="Calibri"/>
          <w:color w:val="1F2933"/>
          <w:sz w:val="21"/>
          <w:szCs w:val="21"/>
        </w:rPr>
        <w:t xml:space="preserve"> Limitar la compra de vivienda existente por inversores mejora nueve resultados sociales y no empeora ninguno: menos subidas de renta y menos rotación de inquilinos en lo que habrían comprado. Retirar las ventajas fiscales mejora nueve y empeora dos, porque también frena al capital que promueve alquiler nuevo.</w:t>
      </w:r>
    </w:p>
    <w:p w14:paraId="0DDC5DFB" w14:textId="77777777" w:rsidR="00A55FEC" w:rsidRDefault="00A55FEC">
      <w:pPr>
        <w:pStyle w:val="NormalWeb"/>
        <w:rPr>
          <w:rFonts w:ascii="Calibri" w:hAnsi="Calibri" w:cs="Calibri"/>
          <w:color w:val="1F2933"/>
          <w:sz w:val="21"/>
          <w:szCs w:val="21"/>
        </w:rPr>
      </w:pPr>
      <w:r>
        <w:rPr>
          <w:rFonts w:ascii="Calibri" w:hAnsi="Calibri" w:cs="Calibri"/>
          <w:color w:val="1F2933"/>
          <w:sz w:val="21"/>
          <w:szCs w:val="21"/>
        </w:rPr>
        <w:t>Añadir vivienda pública y suelo (E8) no cambia el recuento.</w:t>
      </w:r>
    </w:p>
    <w:p w14:paraId="5A0E3109" w14:textId="77777777" w:rsidR="00A55FEC" w:rsidRDefault="00A55FEC">
      <w:pPr>
        <w:pStyle w:val="Ttulo3"/>
        <w:rPr>
          <w:rFonts w:ascii="Calibri" w:eastAsia="Times New Roman" w:hAnsi="Calibri" w:cs="Calibri"/>
        </w:rPr>
      </w:pPr>
      <w:r>
        <w:rPr>
          <w:rFonts w:ascii="Calibri" w:eastAsia="Times New Roman" w:hAnsi="Calibri" w:cs="Calibri"/>
        </w:rPr>
        <w:t>Detalle del escenario E7</w:t>
      </w:r>
    </w:p>
    <w:p w14:paraId="6D7C11B7"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El paquete que plantea JC: restringir las viviendas turísticas, regular también el alquiler de temporada para que no sirva de escape, limitar la compra de vivienda por inversores y retirar las ventajas fiscales de socimis y fondos, reforzar la protección del inquilino frente a la no renovación y el desahucio, ampliar las zonas con tope al alquiler y usar la compra preferente de la Administración cuando se vende un edificio.</w:t>
      </w:r>
    </w:p>
    <w:p w14:paraId="4BC08574"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Ninguno añadido: las siete son variables de decisión del mapa. El mapa no puede dirigir cada medida a una de las tres vías de conversión (vivienda vacía o heredada, alquiler no renovado, edificio vendido a un inversor), porque ninguna de las tres está medida.</w:t>
      </w:r>
    </w:p>
    <w:p w14:paraId="33CC833D"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Lo que se sabe de su tamaño.</w:t>
      </w:r>
      <w:r>
        <w:rPr>
          <w:rFonts w:ascii="Calibri" w:hAnsi="Calibri" w:cs="Calibri"/>
          <w:color w:val="1F2933"/>
          <w:sz w:val="21"/>
          <w:szCs w:val="21"/>
        </w:rPr>
        <w:t xml:space="preserve"> 341.001 viviendas turísticas en mayo de 2026, un 10,7 % menos que un año antes (INE). En Barcelona, 149 compraventas de edificios enteros en 2025, frente a 217 en 2024. Cataluña adquirió 662 viviendas por tanteo y retracto en 2024, por 49,9 millones de euros. En Madrid y Barcelona, cerca del 31 % de las últimas mudanzas de inquilinos fueron forzosas y solo el 1,5 % por orden judicial (IDRA, encuesta no probabilística). Se inscriben unas 208.000 herencias de vivienda al año, sin dato de su uso posterior.</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3A0CACC1" w14:textId="77777777" w:rsidTr="00A55FE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D39BA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C07C72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1705A24"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E3F06A5"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2EED39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F3908A0"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135B027C"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C3EA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0C850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57464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2F5C8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FD2E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21 a favor · </w:t>
            </w:r>
            <w:r>
              <w:rPr>
                <w:rFonts w:ascii="Calibri" w:eastAsia="Times New Roman" w:hAnsi="Calibri" w:cs="Calibri"/>
                <w:color w:val="C05621"/>
                <w:sz w:val="18"/>
                <w:szCs w:val="18"/>
              </w:rPr>
              <w:t>23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EF1DE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081752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7B0153"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EEA26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D9D7D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39F5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7AB20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12 a favor · </w:t>
            </w:r>
            <w:r>
              <w:rPr>
                <w:rFonts w:ascii="Calibri" w:eastAsia="Times New Roman" w:hAnsi="Calibri" w:cs="Calibri"/>
                <w:color w:val="C05621"/>
                <w:sz w:val="18"/>
                <w:szCs w:val="18"/>
              </w:rPr>
              <w:t>15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0DEE7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BE895C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77A4DE"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FCBAB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468E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8A59D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A6403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FB2C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429CB61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C7E5D1"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C83EA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1810D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4BCEB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639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12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28B46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1556F8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01994C"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62BA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95A0F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4CE94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D9EC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E0562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40CE85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38C32"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4615F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C52FE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CB408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76665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15 a favor · </w:t>
            </w:r>
            <w:r>
              <w:rPr>
                <w:rFonts w:ascii="Calibri" w:eastAsia="Times New Roman" w:hAnsi="Calibri" w:cs="Calibri"/>
                <w:color w:val="C05621"/>
                <w:sz w:val="18"/>
                <w:szCs w:val="18"/>
              </w:rPr>
              <w:t>14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3FCF9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29CB31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39584D"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D32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8833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2C49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09E6F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18 a favor · </w:t>
            </w:r>
            <w:r>
              <w:rPr>
                <w:rFonts w:ascii="Calibri" w:eastAsia="Times New Roman" w:hAnsi="Calibri" w:cs="Calibri"/>
                <w:color w:val="C05621"/>
                <w:sz w:val="18"/>
                <w:szCs w:val="18"/>
              </w:rPr>
              <w:t>18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ED673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17E47C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906A7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50B4D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667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328F4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AFD0C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22 a favor · </w:t>
            </w:r>
            <w:r>
              <w:rPr>
                <w:rFonts w:ascii="Calibri" w:eastAsia="Times New Roman" w:hAnsi="Calibri" w:cs="Calibri"/>
                <w:color w:val="C05621"/>
                <w:sz w:val="18"/>
                <w:szCs w:val="18"/>
              </w:rPr>
              <w:t>24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E8C29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AF1F87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94F2E9"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37CF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1B841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A76DF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32E0D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12 a favor · </w:t>
            </w:r>
            <w:r>
              <w:rPr>
                <w:rFonts w:ascii="Calibri" w:eastAsia="Times New Roman" w:hAnsi="Calibri" w:cs="Calibri"/>
                <w:color w:val="C05621"/>
                <w:sz w:val="18"/>
                <w:szCs w:val="18"/>
              </w:rPr>
              <w:t>16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E7995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23609E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D5DBFA"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4CB4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D74B3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6E6B4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176AC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28 a favor · </w:t>
            </w:r>
            <w:r>
              <w:rPr>
                <w:rFonts w:ascii="Calibri" w:eastAsia="Times New Roman" w:hAnsi="Calibri" w:cs="Calibri"/>
                <w:color w:val="C05621"/>
                <w:sz w:val="18"/>
                <w:szCs w:val="18"/>
              </w:rPr>
              <w:t>29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67124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4862E29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2705E2"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19B1E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BC78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B3997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12F58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26 a favor · </w:t>
            </w:r>
            <w:r>
              <w:rPr>
                <w:rFonts w:ascii="Calibri" w:eastAsia="Times New Roman" w:hAnsi="Calibri" w:cs="Calibri"/>
                <w:color w:val="C05621"/>
                <w:sz w:val="18"/>
                <w:szCs w:val="18"/>
              </w:rPr>
              <w:t>33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62BF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F368EC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BC3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B1711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4D79F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CF2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FCA5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19 a favor · </w:t>
            </w:r>
            <w:r>
              <w:rPr>
                <w:rFonts w:ascii="Calibri" w:eastAsia="Times New Roman" w:hAnsi="Calibri" w:cs="Calibri"/>
                <w:color w:val="C05621"/>
                <w:sz w:val="18"/>
                <w:szCs w:val="18"/>
              </w:rPr>
              <w:t>18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6F770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6145C4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104176"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C05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4FDA8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0447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E682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7DCC5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266872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23E3C2"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5618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DAEF3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17671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DAEF6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1EA9D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C130A8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5AD7A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0FF3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A09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5953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EEDF3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F715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3DAB25C"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880722"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8663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A0BEF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CAC66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2AFC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29 a favor · </w:t>
            </w:r>
            <w:r>
              <w:rPr>
                <w:rFonts w:ascii="Calibri" w:eastAsia="Times New Roman" w:hAnsi="Calibri" w:cs="Calibri"/>
                <w:color w:val="C05621"/>
                <w:sz w:val="18"/>
                <w:szCs w:val="18"/>
              </w:rPr>
              <w:t>27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18DCC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3D54517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F934D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6CBF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EED52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72F3C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0015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26 a favor · </w:t>
            </w:r>
            <w:r>
              <w:rPr>
                <w:rFonts w:ascii="Calibri" w:eastAsia="Times New Roman" w:hAnsi="Calibri" w:cs="Calibri"/>
                <w:color w:val="C05621"/>
                <w:sz w:val="18"/>
                <w:szCs w:val="18"/>
              </w:rPr>
              <w:t>23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67C8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148CC38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512F9"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75B9C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646FD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36A9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BFFE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11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547EA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1BA1A32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362EF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B3BB0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1ACF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98AC6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1C0D3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33F09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3FB3C2A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FBED66"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CF35A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4AFC9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94F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054E3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97841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650915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3F0EA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301C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07FDB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9E42A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70F3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2E5A7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0D5430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E5A7B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5F75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1BBEE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76C1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EB920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22 a favor · </w:t>
            </w:r>
            <w:r>
              <w:rPr>
                <w:rFonts w:ascii="Calibri" w:eastAsia="Times New Roman" w:hAnsi="Calibri" w:cs="Calibri"/>
                <w:color w:val="C05621"/>
                <w:sz w:val="18"/>
                <w:szCs w:val="18"/>
              </w:rPr>
              <w:t>21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4D76D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275E85D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9B92A"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C154A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D86C3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BB8D7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2FA7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12 a favor · </w:t>
            </w:r>
            <w:r>
              <w:rPr>
                <w:rFonts w:ascii="Calibri" w:eastAsia="Times New Roman" w:hAnsi="Calibri" w:cs="Calibri"/>
                <w:color w:val="C05621"/>
                <w:sz w:val="18"/>
                <w:szCs w:val="18"/>
              </w:rPr>
              <w:t>16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31824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7041C34D"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w:t>
      </w:r>
      <w:r>
        <w:rPr>
          <w:rFonts w:ascii="Calibri" w:hAnsi="Calibri" w:cs="Calibri"/>
          <w:color w:val="1F2933"/>
          <w:sz w:val="21"/>
          <w:szCs w:val="21"/>
        </w:rPr>
        <w:t>(el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32BE60BA" w14:textId="77777777" w:rsidTr="00A55FE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5EE494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7DD64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3921F1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7BF58C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2201B3F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91988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4A45F"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728EA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6803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5D41FF3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62F45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451A6"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Exigencia en la selecci</w:t>
            </w:r>
            <w:r>
              <w:rPr>
                <w:rFonts w:ascii="Calibri" w:eastAsia="Times New Roman" w:hAnsi="Calibri" w:cs="Calibri"/>
                <w:color w:val="1F2933"/>
                <w:sz w:val="18"/>
                <w:szCs w:val="18"/>
              </w:rPr>
              <w:t>ó</w:t>
            </w:r>
            <w:r>
              <w:rPr>
                <w:rFonts w:ascii="Calibri" w:eastAsia="Times New Roman" w:hAnsi="Calibri" w:cs="Calibri"/>
                <w:color w:val="1F2933"/>
                <w:sz w:val="18"/>
                <w:szCs w:val="18"/>
              </w:rPr>
              <w:t>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FD0EF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3311E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884802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E9B5D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F16AB8"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97F37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479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98EBDF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513E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48BC63"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Discriminaci</w:t>
            </w:r>
            <w:r>
              <w:rPr>
                <w:rFonts w:ascii="Calibri" w:eastAsia="Times New Roman" w:hAnsi="Calibri" w:cs="Calibri"/>
                <w:color w:val="1F2933"/>
                <w:sz w:val="18"/>
                <w:szCs w:val="18"/>
              </w:rPr>
              <w:t>ó</w:t>
            </w:r>
            <w:r>
              <w:rPr>
                <w:rFonts w:ascii="Calibri" w:eastAsia="Times New Roman" w:hAnsi="Calibri" w:cs="Calibri"/>
                <w:color w:val="1F2933"/>
                <w:sz w:val="18"/>
                <w:szCs w:val="18"/>
              </w:rPr>
              <w:t>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70026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8D42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4D8AFE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1BA88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1DAC39"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64C4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CE5D2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A5693C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13D9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04DE67"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4E01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A6E2C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Alta</w:t>
            </w:r>
          </w:p>
        </w:tc>
      </w:tr>
      <w:tr w:rsidR="00000000" w14:paraId="107F90B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702F0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C820EA"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A38BE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3AB6B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78EFD2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DFDCA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21C007"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D0849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7B699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0C86D2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1C01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82274B"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2A16E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BE62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1A874F8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0F413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46881E"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alojamiento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E0C1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6303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CC80A5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01D8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E39794"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alquiler de temporada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3B045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1ABC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FC0908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42BBE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2E4049"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652E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B1DEE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697500ED"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63DBAD0A" w14:textId="77777777" w:rsidTr="00A55FE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8B1704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A2DD22C"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E4D587"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7E052F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17B7371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8A34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041A87"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7A706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3704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6087A0C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CA71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64F881"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9E64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D85E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5053729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2FB77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9DA9B8"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4C3C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56504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B47957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0C6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A74CCF"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3A655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4D65C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29F2778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C97F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9FCEDB"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CF6A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317F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2A59941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E044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0766F"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C3FF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EDBC3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2BC81DC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94277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BA5DD6"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ECC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ED40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7329ACD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2ABB9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6BBCC9"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Discriminaci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en el acceso al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3673E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09AC7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578FB8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D79D2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B3AE51"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331D2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F28F8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4D55F01D" w14:textId="77777777" w:rsidR="00A55FEC" w:rsidRDefault="00A55FEC">
      <w:pPr>
        <w:pStyle w:val="Ttulo2"/>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7. Cada medida por separado</w:t>
      </w:r>
    </w:p>
    <w:tbl>
      <w:tblPr>
        <w:tblW w:w="5000" w:type="pct"/>
        <w:tblCellMar>
          <w:top w:w="15" w:type="dxa"/>
          <w:left w:w="15" w:type="dxa"/>
          <w:bottom w:w="15" w:type="dxa"/>
          <w:right w:w="15" w:type="dxa"/>
        </w:tblCellMar>
        <w:tblLook w:val="04A0" w:firstRow="1" w:lastRow="0" w:firstColumn="1" w:lastColumn="0" w:noHBand="0" w:noVBand="1"/>
      </w:tblPr>
      <w:tblGrid>
        <w:gridCol w:w="5736"/>
        <w:gridCol w:w="1721"/>
        <w:gridCol w:w="1578"/>
        <w:gridCol w:w="1291"/>
        <w:gridCol w:w="1291"/>
        <w:gridCol w:w="1147"/>
        <w:gridCol w:w="1578"/>
      </w:tblGrid>
      <w:tr w:rsidR="00000000" w14:paraId="34D6D67E" w14:textId="77777777" w:rsidTr="00A55FEC">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E9575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 aislada</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C9418F"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E4DC65"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Resultados sociales que mejoran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3E7F98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Que empeoran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55CFDB9"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B7E6CD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222449"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r>
      <w:tr w:rsidR="00000000" w14:paraId="7299231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EF6EA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75A09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9E8E1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E862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2CCEF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0BF8C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539C2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r w:rsidR="00000000" w14:paraId="7A0E9DD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3C3F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1540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62BD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73A4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3970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69EB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93E03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6FBDD3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CA09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DAC5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E5BE1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AA70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A6077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783C5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B08C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4003F36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629F6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las ventajas fiscales de socimis y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895DF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E6FE7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BCC90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7851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D20A4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E1DDB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5FEC9BE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9E61A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63C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FA72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D23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9770D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CFC5C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E485C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43FBAF7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24BAE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2280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A8161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63A8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441FE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8990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74A57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160646E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7A37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las zonas con tope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7561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CE70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CCDD8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5C29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A11A0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70E4C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10287F8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DB72E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D4A18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44763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77866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6BEB4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D855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613B3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3A6E15B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B0FE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Regular 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1CEDF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205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F077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20021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FC84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B1E1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F2F6AB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442A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1B1A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7A398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FDB74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DD4D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8B547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330AB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3EA5788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1D026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3392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E4B5C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1DA17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C8A2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1013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D266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978875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0D99C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 inversión pública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12C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AEAA4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C7282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5D440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06A55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02DA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49C98D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D587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protección legal del inquilino que hoy recae sobre el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67C61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2739A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C42B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F942E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883D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9F0C0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29D8935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9F7FF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FBF74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91CA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DD1AA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54F07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9986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140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022257A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983A9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las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D1E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4F7F3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CFDFE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CE98D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CA08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B06B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01FA3EE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887BC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1554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1DA1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8969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9D1FE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CF2E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02F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EF8F36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4AC47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Suprimir los recargos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6089D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95B25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E758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4B1AE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538FD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2245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AFE18F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9E691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las ayudas al alquiler y los avales 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31A9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3835E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77C2F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8064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98FDB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49383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17D5E7D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1112D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0CFB7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185FB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1C0A7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CAC9D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AEA0B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5945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0FFFA3E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AE33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Reforzar la protección legal del inquilino frente al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B87D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778BF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2420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EAD2B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A292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E3675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3A261E2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3FE3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Relajar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4DF3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F4C65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6973F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91757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54F1D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CE65D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4208FE9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5ED23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B2ABD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76611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77AC5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1B38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472DD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B6E8A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2019086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1B43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rebaja fiscal al propietario que alquila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F616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clasificar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CCA99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92FBC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D270D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3FB6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E261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26490D2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63C6B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programas de garantía pública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CAFA8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FAC3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1E418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C5C4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1E622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A81C0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202448C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8AFA6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Mejorar el trato fiscal de socimis y fondos que invierten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B5C5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74BE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B086C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0917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4922A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C4134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5EDB55C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081C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Liberalizar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422A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69A13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AFFF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1A95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D3EF6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9435A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bl>
    <w:p w14:paraId="1F77AFA2" w14:textId="77777777" w:rsidR="00A55FEC" w:rsidRDefault="00A55FEC">
      <w:pPr>
        <w:pStyle w:val="Ttulo2"/>
        <w:rPr>
          <w:rFonts w:ascii="Calibri" w:eastAsia="Times New Roman" w:hAnsi="Calibri" w:cs="Calibri"/>
        </w:rPr>
      </w:pPr>
      <w:r>
        <w:rPr>
          <w:rFonts w:ascii="Calibri" w:eastAsia="Times New Roman" w:hAnsi="Calibri" w:cs="Calibri"/>
        </w:rPr>
        <w:t>8. El paquete de menor coste social</w:t>
      </w:r>
    </w:p>
    <w:p w14:paraId="4D998DA0"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Regla de selección.</w:t>
      </w:r>
      <w:r>
        <w:rPr>
          <w:rFonts w:ascii="Calibri" w:hAnsi="Calibri" w:cs="Calibri"/>
          <w:color w:val="1F2933"/>
          <w:sz w:val="21"/>
          <w:szCs w:val="21"/>
        </w:rPr>
        <w:t xml:space="preserve"> Solo cuentan los resultados que describen cómo viven las personas; la rentabilidad de quien ofrece no puntúa ni penaliza. Primero, el mayor saldo entre resultados sociales que mejoran y que empeoran en primera ronda; después, menos resultados sociales que empeoran; menos con señales contrarias; menos mejoras con efectos de vuelta en contra; mayor saldo usando solo evidencia media o alta; menos medidas.</w:t>
      </w:r>
    </w:p>
    <w:tbl>
      <w:tblPr>
        <w:tblW w:w="5000" w:type="pct"/>
        <w:tblCellMar>
          <w:top w:w="15" w:type="dxa"/>
          <w:left w:w="15" w:type="dxa"/>
          <w:bottom w:w="15" w:type="dxa"/>
          <w:right w:w="15" w:type="dxa"/>
        </w:tblCellMar>
        <w:tblLook w:val="04A0" w:firstRow="1" w:lastRow="0" w:firstColumn="1" w:lastColumn="0" w:noHBand="0" w:noVBand="1"/>
      </w:tblPr>
      <w:tblGrid>
        <w:gridCol w:w="6454"/>
        <w:gridCol w:w="3872"/>
        <w:gridCol w:w="4016"/>
      </w:tblGrid>
      <w:tr w:rsidR="00000000" w14:paraId="1190D9C1" w14:textId="77777777" w:rsidTr="00A55FEC">
        <w:tc>
          <w:tcPr>
            <w:tcW w:w="2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6DB20AC"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812F63"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 del mapa y sentido</w:t>
            </w:r>
          </w:p>
        </w:tc>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03DF0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Supuesto que añade</w:t>
            </w:r>
          </w:p>
        </w:tc>
      </w:tr>
      <w:tr w:rsidR="00000000" w14:paraId="7A85FD5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FE876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9D1611"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465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 es una variable de decisión del mapa.</w:t>
            </w:r>
          </w:p>
        </w:tc>
      </w:tr>
      <w:tr w:rsidR="00000000" w14:paraId="6A559AC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53D2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BEB298"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Frecuencia de cambios normativos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D6390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Supone que el pacto se cumple.</w:t>
            </w:r>
          </w:p>
        </w:tc>
      </w:tr>
      <w:tr w:rsidR="00000000" w14:paraId="2DE5A4A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201B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BFD82D" w14:textId="77777777" w:rsidR="00A55FEC" w:rsidRDefault="00A55FEC">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Compra preferente de vivienda por la Administraci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D52B2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 es una variable de decisión del mapa.</w:t>
            </w:r>
          </w:p>
        </w:tc>
      </w:tr>
    </w:tbl>
    <w:p w14:paraId="5DE97B12" w14:textId="77777777" w:rsidR="00A55FEC" w:rsidRDefault="00A55FEC">
      <w:pPr>
        <w:rPr>
          <w:rFonts w:ascii="Calibri" w:eastAsia="Times New Roman" w:hAnsi="Calibri" w:cs="Calibri"/>
          <w:vanish/>
          <w:color w:val="1F29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2581"/>
        <w:gridCol w:w="4016"/>
        <w:gridCol w:w="1578"/>
        <w:gridCol w:w="2008"/>
        <w:gridCol w:w="2151"/>
        <w:gridCol w:w="2008"/>
      </w:tblGrid>
      <w:tr w:rsidR="00000000" w14:paraId="644B0CED" w14:textId="77777777" w:rsidTr="00A55FEC">
        <w:tc>
          <w:tcPr>
            <w:tcW w:w="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233F6C"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04502EE"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28E1F2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14D177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5893DD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 (a favor · en contra)</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D1546D3"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089F7D7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BDF1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ABD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7CE41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46C1D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87F2A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 </w:t>
            </w:r>
            <w:r>
              <w:rPr>
                <w:rFonts w:ascii="Calibri" w:eastAsia="Times New Roman" w:hAnsi="Calibri" w:cs="Calibri"/>
                <w:color w:val="C05621"/>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4F9C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8AD543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C47B1"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743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36B1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DF800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40963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CFA30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410AAA3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8405A9"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DA1C2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7601D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3280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7313A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C6ADE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8D1319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3119BC"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B510A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4C71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AC9A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073EE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4C39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821B1B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67E8EA"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F23E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F27A3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485E1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4E49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61205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5F1782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BC813"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2727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1FF5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11BAF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3DD6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578E0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145402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9ADAD0"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C9406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B82C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92BAA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E60F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A9EF1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207426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BA33D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6390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B03BF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8630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FB81D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 </w:t>
            </w:r>
            <w:r>
              <w:rPr>
                <w:rFonts w:ascii="Calibri" w:eastAsia="Times New Roman" w:hAnsi="Calibri" w:cs="Calibri"/>
                <w:color w:val="C05621"/>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B0285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20F9C3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C46BD"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826CC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4810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280A1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1724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CC21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6FD8FC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E7CC7B"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9C6C0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E8AD6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51C5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0536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 </w:t>
            </w:r>
            <w:r>
              <w:rPr>
                <w:rFonts w:ascii="Calibri" w:eastAsia="Times New Roman" w:hAnsi="Calibri" w:cs="Calibri"/>
                <w:color w:val="C05621"/>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086AF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4F3947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1A8A6"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2FBC9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6320B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E9B10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38CAD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13 · </w:t>
            </w:r>
            <w:r>
              <w:rPr>
                <w:rFonts w:ascii="Calibri" w:eastAsia="Times New Roman" w:hAnsi="Calibri" w:cs="Calibri"/>
                <w:color w:val="C05621"/>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C9AC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46D073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93649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8784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E65B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4213D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FF202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 </w:t>
            </w:r>
            <w:r>
              <w:rPr>
                <w:rFonts w:ascii="Calibri" w:eastAsia="Times New Roman" w:hAnsi="Calibri" w:cs="Calibri"/>
                <w:color w:val="C05621"/>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8243B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3EAD77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B9CDBA"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1613C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010C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51790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9D1CB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639F8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B5E221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594554"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C5717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9EED2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FC9B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66F6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4C2CC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0E3C1F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4E796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93AB3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1D796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C69B3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3D55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F52D9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BDDEA5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950A14"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B089F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A8B2D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E30A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13C35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3A1FA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r>
      <w:tr w:rsidR="00000000" w14:paraId="408BEEF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74ECA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A831C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89F74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E05F2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EEE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14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EF39D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2AA7E05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5C249E"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F5B0E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8FFF7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803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AE766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00B83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060BD4B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517B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7C436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3220B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1E71C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F18C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66B3C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539BFAB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EBB717"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DB9B9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ECA61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AD20C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CED9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D6BC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804BEA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EF423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CCD14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84CC8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76B7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D2FAA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E63ED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9BC2D1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12E7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4CF8F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F7B74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FFF2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2D6B5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 </w:t>
            </w:r>
            <w:r>
              <w:rPr>
                <w:rFonts w:ascii="Calibri" w:eastAsia="Times New Roman" w:hAnsi="Calibri" w:cs="Calibri"/>
                <w:color w:val="C05621"/>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7CBF1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4C95E79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1A0992"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EDF8F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74486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094EA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1B083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17EAC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2DE1B6BD"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Lo que el cálculo no ve.</w:t>
      </w:r>
      <w:r>
        <w:rPr>
          <w:rFonts w:ascii="Calibri" w:hAnsi="Calibri" w:cs="Calibri"/>
          <w:color w:val="1F2933"/>
          <w:sz w:val="21"/>
          <w:szCs w:val="21"/>
        </w:rPr>
        <w:t xml:space="preserve"> </w:t>
      </w:r>
      <w:r>
        <w:rPr>
          <w:rFonts w:ascii="Calibri" w:hAnsi="Calibri" w:cs="Calibri"/>
          <w:color w:val="1F2933"/>
          <w:sz w:val="21"/>
          <w:szCs w:val="21"/>
        </w:rPr>
        <w:t>Efectos de estas medidas que solo constan como conjetura o como hipótesis y que, por tanto, no cuentan:</w:t>
      </w:r>
    </w:p>
    <w:tbl>
      <w:tblPr>
        <w:tblW w:w="5000" w:type="pct"/>
        <w:tblCellMar>
          <w:top w:w="15" w:type="dxa"/>
          <w:left w:w="15" w:type="dxa"/>
          <w:bottom w:w="15" w:type="dxa"/>
          <w:right w:w="15" w:type="dxa"/>
        </w:tblCellMar>
        <w:tblLook w:val="04A0" w:firstRow="1" w:lastRow="0" w:firstColumn="1" w:lastColumn="0" w:noHBand="0" w:noVBand="1"/>
      </w:tblPr>
      <w:tblGrid>
        <w:gridCol w:w="2868"/>
        <w:gridCol w:w="3586"/>
        <w:gridCol w:w="2868"/>
        <w:gridCol w:w="5020"/>
      </w:tblGrid>
      <w:tr w:rsidR="00000000" w14:paraId="0EE29042" w14:textId="77777777" w:rsidTr="00A55FE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2C3D50"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738F8F0"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 no contado</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FB2BE9E"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Por qué no cuenta</w:t>
            </w:r>
          </w:p>
        </w:tc>
        <w:tc>
          <w:tcPr>
            <w:tcW w:w="1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478C69"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r>
      <w:tr w:rsidR="00000000" w14:paraId="2DFEF8E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C4EE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Frecuencia de cambios normativos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ED136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0F515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Conjetura: lo afirma un solo actor o está disputada sin datos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AFF2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 norma cambia a menudo, el propietario no sabe a qué atenerse.</w:t>
            </w:r>
          </w:p>
        </w:tc>
      </w:tr>
      <w:tr w:rsidR="00000000" w14:paraId="3C3A822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9E6B2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preferente de vivienda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1F0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E767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 del analista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6D329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 Administración compra el edificio, los inquilinos se quedan.</w:t>
            </w:r>
          </w:p>
        </w:tc>
      </w:tr>
    </w:tbl>
    <w:p w14:paraId="2B9FEDF5"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Empate.</w:t>
      </w:r>
      <w:r>
        <w:rPr>
          <w:rFonts w:ascii="Calibri" w:hAnsi="Calibri" w:cs="Calibri"/>
          <w:color w:val="1F2933"/>
          <w:sz w:val="21"/>
          <w:szCs w:val="21"/>
        </w:rPr>
        <w:t xml:space="preserve"> 6 paquetes obtienen exactamente la misma puntuación con esta regla y el mismo número de medidas; se muestra el primero en el orden de la lista de palancas. Los empatados: restringir las viviendas de uso turístico + pactar un periodo largo sin cambios en las reglas del alquiler + ampliar la compra preferente de viviendas y edificios por la Administración; restringir las viviendas de uso turístico + crear una garantía pública que pague o asegure la renta al pequeño propietario + pactar un periodo largo sin c</w:t>
      </w:r>
      <w:r>
        <w:rPr>
          <w:rFonts w:ascii="Calibri" w:hAnsi="Calibri" w:cs="Calibri"/>
          <w:color w:val="1F2933"/>
          <w:sz w:val="21"/>
          <w:szCs w:val="21"/>
        </w:rPr>
        <w:t>ambios en las reglas del alquiler; restringir las viviendas de uso turístico + aumentar la inversión pública en vivienda protegida + pactar un periodo largo sin cambios en las reglas del alquiler; restringir las viviendas de uso turístico + ampliar la rebaja fiscal al propietario que alquila como vivienda habitual + ampliar la compra preferente de viviendas y edificios por la Administración; restringir las viviendas de uso turístico + ampliar la rebaja fiscal al propietario que alquila como vivienda habitua</w:t>
      </w:r>
      <w:r>
        <w:rPr>
          <w:rFonts w:ascii="Calibri" w:hAnsi="Calibri" w:cs="Calibri"/>
          <w:color w:val="1F2933"/>
          <w:sz w:val="21"/>
          <w:szCs w:val="21"/>
        </w:rPr>
        <w:t>l + crear una garantía pública que pague o asegure la renta al pequeño propietario; restringir las viviendas de uso turístico + ampliar la rebaja fiscal al propietario que alquila como vivienda habitual + aumentar la inversión pública en vivienda protegida.</w:t>
      </w:r>
    </w:p>
    <w:p w14:paraId="3178970A"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Paquetes que le siguen con el mismo criterio:</w:t>
      </w:r>
    </w:p>
    <w:tbl>
      <w:tblPr>
        <w:tblW w:w="5000" w:type="pct"/>
        <w:tblCellMar>
          <w:top w:w="15" w:type="dxa"/>
          <w:left w:w="15" w:type="dxa"/>
          <w:bottom w:w="15" w:type="dxa"/>
          <w:right w:w="15" w:type="dxa"/>
        </w:tblCellMar>
        <w:tblLook w:val="04A0" w:firstRow="1" w:lastRow="0" w:firstColumn="1" w:lastColumn="0" w:noHBand="0" w:noVBand="1"/>
      </w:tblPr>
      <w:tblGrid>
        <w:gridCol w:w="861"/>
        <w:gridCol w:w="7458"/>
        <w:gridCol w:w="1147"/>
        <w:gridCol w:w="1291"/>
        <w:gridCol w:w="1147"/>
        <w:gridCol w:w="1291"/>
        <w:gridCol w:w="1147"/>
      </w:tblGrid>
      <w:tr w:rsidR="00000000" w14:paraId="30ECF5FE" w14:textId="77777777" w:rsidTr="00A55FE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A471599"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Puesto</w:t>
            </w:r>
          </w:p>
        </w:tc>
        <w:tc>
          <w:tcPr>
            <w:tcW w:w="2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148CE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6EAA1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7F7629"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vuelta en contra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E50C63"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1917C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AB29AE3"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Actores con perjuicio</w:t>
            </w:r>
          </w:p>
        </w:tc>
      </w:tr>
      <w:tr w:rsidR="00000000" w14:paraId="548073A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A5F1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1F7ED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2A6E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D98B6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C539E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4AD35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B9A7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4B7BDB7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E0E9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6A3F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crear una garantía pública que pague o asegure la renta al pequeño propietario;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21113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9E8EF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E0BDE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31F8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3CCC7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25FCCCE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EAC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44B5C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aumentar la inversión pública en vivienda protegida;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FE68C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06CA8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458E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3C18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C34A0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41121EEC"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4DC79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EF71A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ampliar la rebaja fiscal al propietario que alquila como vivienda habitual;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E806A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53A7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AFFD3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91B3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972FD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6204F4F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390DD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D4BD3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ampliar la rebaja fiscal al propietario que alquila como vivienda habitual; 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6C6F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4DCF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DCD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41D1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40B5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6EA38C1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37274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EBF1A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ampliar la rebaja fiscal al propietario que alquila como vivienda habitual; aumentar la inversión pública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208C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893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8794E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67DE9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D453E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2FBDE1B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28A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C82E3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A2968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7688A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511A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3539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89AC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7B74072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88FCB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43DD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regular el alquiler de temporada;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D54BE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CCCA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EDA0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7FAA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AB3DF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bl>
    <w:p w14:paraId="2D42B996" w14:textId="77777777" w:rsidR="00A55FEC" w:rsidRDefault="00A55FEC">
      <w:pPr>
        <w:pStyle w:val="Ttulo2"/>
        <w:rPr>
          <w:rFonts w:ascii="Calibri" w:eastAsia="Times New Roman" w:hAnsi="Calibri" w:cs="Calibri"/>
        </w:rPr>
      </w:pPr>
      <w:r>
        <w:rPr>
          <w:rFonts w:ascii="Calibri" w:eastAsia="Times New Roman" w:hAnsi="Calibri" w:cs="Calibri"/>
        </w:rPr>
        <w:t>9. Todos los criterios, uno junto a otro</w:t>
      </w:r>
    </w:p>
    <w:tbl>
      <w:tblPr>
        <w:tblW w:w="5000" w:type="pct"/>
        <w:tblCellMar>
          <w:top w:w="15" w:type="dxa"/>
          <w:left w:w="15" w:type="dxa"/>
          <w:bottom w:w="15" w:type="dxa"/>
          <w:right w:w="15" w:type="dxa"/>
        </w:tblCellMar>
        <w:tblLook w:val="04A0" w:firstRow="1" w:lastRow="0" w:firstColumn="1" w:lastColumn="0" w:noHBand="0" w:noVBand="1"/>
      </w:tblPr>
      <w:tblGrid>
        <w:gridCol w:w="1864"/>
        <w:gridCol w:w="3872"/>
        <w:gridCol w:w="1291"/>
        <w:gridCol w:w="1147"/>
        <w:gridCol w:w="1147"/>
        <w:gridCol w:w="861"/>
        <w:gridCol w:w="1578"/>
        <w:gridCol w:w="2582"/>
      </w:tblGrid>
      <w:tr w:rsidR="00000000" w14:paraId="7C6CC930" w14:textId="77777777" w:rsidTr="00A55FE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D66A4F"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Paquete</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3B9491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35E2E0"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Resultados sociales que mejoran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4D9E5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Que 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BF557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F3F112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82956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c>
          <w:tcPr>
            <w:tcW w:w="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A9A6B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 fuera del objetivo (se informa, no puntúa)</w:t>
            </w:r>
          </w:p>
        </w:tc>
      </w:tr>
      <w:tr w:rsidR="00000000" w14:paraId="6B84D12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6F1E0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P1 · Sin perdedores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E12DB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A4BB7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B7F40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1AAFA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1692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BC65C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(5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98230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1F5FF6F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58D0E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P2 · Solo evidencia firme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534B5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7E3A7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96F79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A4894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388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8593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(2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23758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6D6D77A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92031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P3 · Más actores beneficiados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8CC33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 dotar a ayuntamientos y comunidades para alojar a las personas vulnerables en su barrio;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2A3AF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243C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345AA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8743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3D850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(6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25CE7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r>
      <w:tr w:rsidR="00000000" w14:paraId="318DDD1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3264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 · Menor coste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2FE35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310B8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94C16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CCEB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6A15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B7E0E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(8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3BFE0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 Viviendas terminadas al año; Viviendas de uso turístico; Precio del alojamiento turístico; Déficit acumulado de viviendas</w:t>
            </w:r>
          </w:p>
        </w:tc>
      </w:tr>
      <w:tr w:rsidR="00000000" w14:paraId="19077F5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668C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P5 · Más personas beneficiadas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24F9E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endurecer los criterios para conceder hipotecas;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2D18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7D090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CF207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1E2CE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AE984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(7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14B24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 Viviendas iniciadas al año; Viviendas terminadas al año; Déficit acumulado de viviendas</w:t>
            </w:r>
          </w:p>
        </w:tc>
      </w:tr>
      <w:tr w:rsidR="00000000" w14:paraId="23B3EB0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AD25F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P4I · Menor coste social, 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973EA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4AEA5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0D51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F09E1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EEAC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4F4A6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(2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E6436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 Viviendas terminadas al año; Déficit acumulado de viviendas</w:t>
            </w:r>
          </w:p>
        </w:tc>
      </w:tr>
      <w:tr w:rsidR="00000000" w14:paraId="4CE0A2E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4B6E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P4M · Menor coste social, 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DA85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3412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B2A0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D693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2990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16B3D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(5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DD4F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bl>
    <w:p w14:paraId="60D5A20C" w14:textId="77777777" w:rsidR="00A55FEC" w:rsidRDefault="00A55FEC">
      <w:pPr>
        <w:pStyle w:val="Ttulo2"/>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10. El saldo ponderado por personas: una simulación</w:t>
      </w:r>
    </w:p>
    <w:p w14:paraId="7EB6A06A" w14:textId="77777777" w:rsidR="00A55FEC" w:rsidRDefault="00A55FEC">
      <w:pPr>
        <w:pStyle w:val="NormalWeb"/>
        <w:rPr>
          <w:rFonts w:ascii="Calibri" w:hAnsi="Calibri" w:cs="Calibri"/>
          <w:color w:val="1F2933"/>
          <w:sz w:val="21"/>
          <w:szCs w:val="21"/>
        </w:rPr>
      </w:pPr>
      <w:r>
        <w:rPr>
          <w:rFonts w:ascii="Calibri" w:hAnsi="Calibri" w:cs="Calibri"/>
          <w:color w:val="1F2933"/>
          <w:sz w:val="21"/>
          <w:szCs w:val="21"/>
        </w:rPr>
        <w:t>Hasta aquí cada resultado cuenta uno. Para acercarse a «cuántas personas», la población afectada se reparte en tres grupos que no se solapan, cada uno con los resultados que le atañen.</w:t>
      </w:r>
    </w:p>
    <w:tbl>
      <w:tblPr>
        <w:tblW w:w="5000" w:type="pct"/>
        <w:tblCellMar>
          <w:top w:w="15" w:type="dxa"/>
          <w:left w:w="15" w:type="dxa"/>
          <w:bottom w:w="15" w:type="dxa"/>
          <w:right w:w="15" w:type="dxa"/>
        </w:tblCellMar>
        <w:tblLook w:val="04A0" w:firstRow="1" w:lastRow="0" w:firstColumn="1" w:lastColumn="0" w:noHBand="0" w:noVBand="1"/>
      </w:tblPr>
      <w:tblGrid>
        <w:gridCol w:w="3441"/>
        <w:gridCol w:w="1578"/>
        <w:gridCol w:w="4303"/>
        <w:gridCol w:w="5020"/>
      </w:tblGrid>
      <w:tr w:rsidR="00000000" w14:paraId="63EA39CE" w14:textId="77777777" w:rsidTr="00A55FE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F34FE97"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Grupo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17B8E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w:t>
            </w:r>
          </w:p>
        </w:tc>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C1D4BC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Cómo se obtiene</w:t>
            </w:r>
          </w:p>
        </w:tc>
        <w:tc>
          <w:tcPr>
            <w:tcW w:w="1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AF13E2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Resultados que le atañen</w:t>
            </w:r>
          </w:p>
        </w:tc>
      </w:tr>
      <w:tr w:rsidR="00000000" w14:paraId="3B458C9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B8734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que viven de alquiler de mercado y no son pobres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BEDD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5.760.538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4F68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49.128.297 × 17,4 % en alquiler de mercado (Eurostat, 2025), menos el grupo siguiente.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69073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 Precio del alquiler; Exigencia en la selección de inquilinos; Mudanzas forzosas de inquilinos sin orden judicial; Sobreocupación de las viviendas alquiladas; Brecha de riqueza entre propietarios e inquilinos</w:t>
            </w:r>
          </w:p>
        </w:tc>
      </w:tr>
      <w:tr w:rsidR="00000000" w14:paraId="06DE81C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3024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pobres que viven de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E799B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2.787.785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0138D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49.128.297 × 19,5 % en riesgo de pobreza × 29,1 % de ellas en alquiler de mercado (Eurostat,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E09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 Precio del alquiler; Exigencia en la selección de inquilinos; Mudanzas forzosas de inquilinos sin orden judicial; Sobreocupación de las viviendas alquiladas; Brecha de riqueza entre propietarios e inquilinos; Exclusión residencial; Parque de alquiler social; Discriminación en el acceso al alquiler</w:t>
            </w:r>
          </w:p>
        </w:tc>
      </w:tr>
      <w:tr w:rsidR="00000000" w14:paraId="741B793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6914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de 18 a 34 años que viven con sus padres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9F472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6.420.477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79632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9.345.672 personas de 18 a 34 años (Eurostat, 1/1/2025) × 68,7 % que viven con sus padres. Es un máximo: no todos quieren o pueden emanciparse.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DDD40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 Oferta de alquiler habitual; Esfuerzo de los hogares para comprar; Precio de compra de la vivienda; Hogares latentes no formados</w:t>
            </w:r>
          </w:p>
        </w:tc>
      </w:tr>
      <w:tr w:rsidR="00000000" w14:paraId="00C704C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7068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Total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9356E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14.968.800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7A4D56" w14:textId="77777777" w:rsidR="00A55FEC" w:rsidRDefault="00A55FEC">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F5BFAC" w14:textId="77777777" w:rsidR="00A55FEC" w:rsidRDefault="00A55FEC">
            <w:pPr>
              <w:spacing w:before="60" w:after="180"/>
              <w:rPr>
                <w:rFonts w:eastAsia="Times New Roman"/>
                <w:sz w:val="20"/>
                <w:szCs w:val="20"/>
              </w:rPr>
            </w:pPr>
          </w:p>
        </w:tc>
      </w:tr>
    </w:tbl>
    <w:p w14:paraId="6E0DF65D" w14:textId="77777777" w:rsidR="00A55FEC" w:rsidRDefault="00A55FEC">
      <w:pPr>
        <w:shd w:val="clear" w:color="auto" w:fill="FEF5E7"/>
        <w:spacing w:after="180"/>
        <w:divId w:val="1172723424"/>
        <w:rPr>
          <w:rFonts w:ascii="Calibri" w:eastAsia="Times New Roman" w:hAnsi="Calibri" w:cs="Calibri"/>
          <w:color w:val="1F2933"/>
          <w:sz w:val="21"/>
          <w:szCs w:val="21"/>
        </w:rPr>
      </w:pPr>
      <w:r>
        <w:rPr>
          <w:rFonts w:ascii="Calibri" w:eastAsia="Times New Roman" w:hAnsi="Calibri" w:cs="Calibri"/>
          <w:b/>
          <w:bCs/>
          <w:color w:val="1F2933"/>
          <w:sz w:val="21"/>
          <w:szCs w:val="21"/>
        </w:rPr>
        <w:t>Qué es y qué no es.</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Es una simulación con una regla declarada, no un recuento de personas que mejoran. A cada grupo se le da una nota entre −1 y +1: resultados suyos que mejoran menos los que empeoran, dividido por el total. Las notas se promedian con el número de personas de cada grupo. El índice va de −100 (todo empeora para todos) a +100 (todo mejora para todos). No dice cuánto mejora nadie. Quedan fuera los residentes de centros con presión turística, porque no hay cifra de cuántos son, y los propietarios que viven en su c</w:t>
      </w:r>
      <w:r>
        <w:rPr>
          <w:rFonts w:ascii="Calibri" w:eastAsia="Times New Roman" w:hAnsi="Calibri" w:cs="Calibri"/>
          <w:color w:val="1F2933"/>
          <w:sz w:val="21"/>
          <w:szCs w:val="21"/>
        </w:rPr>
        <w:t>asa.</w:t>
      </w:r>
    </w:p>
    <w:p w14:paraId="28B14BF8" w14:textId="77777777" w:rsidR="00A55FEC" w:rsidRDefault="00A55FEC">
      <w:pPr>
        <w:pStyle w:val="Ttulo3"/>
        <w:rPr>
          <w:rFonts w:ascii="Calibri" w:eastAsia="Times New Roman" w:hAnsi="Calibri" w:cs="Calibri"/>
        </w:rPr>
      </w:pPr>
      <w:r>
        <w:rPr>
          <w:rFonts w:ascii="Calibri" w:eastAsia="Times New Roman" w:hAnsi="Calibri" w:cs="Calibri"/>
        </w:rPr>
        <w:t>Los paquetes</w:t>
      </w:r>
    </w:p>
    <w:tbl>
      <w:tblPr>
        <w:tblW w:w="5000" w:type="pct"/>
        <w:tblCellMar>
          <w:top w:w="15" w:type="dxa"/>
          <w:left w:w="15" w:type="dxa"/>
          <w:bottom w:w="15" w:type="dxa"/>
          <w:right w:w="15" w:type="dxa"/>
        </w:tblCellMar>
        <w:tblLook w:val="04A0" w:firstRow="1" w:lastRow="0" w:firstColumn="1" w:lastColumn="0" w:noHBand="0" w:noVBand="1"/>
      </w:tblPr>
      <w:tblGrid>
        <w:gridCol w:w="1579"/>
        <w:gridCol w:w="3586"/>
        <w:gridCol w:w="1864"/>
        <w:gridCol w:w="1864"/>
        <w:gridCol w:w="1864"/>
        <w:gridCol w:w="1291"/>
        <w:gridCol w:w="1147"/>
        <w:gridCol w:w="1147"/>
      </w:tblGrid>
      <w:tr w:rsidR="00000000" w14:paraId="629E9D71" w14:textId="77777777" w:rsidTr="00A55FE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BC239D" w14:textId="77777777" w:rsidR="00A55FEC" w:rsidRDefault="00A55FEC">
            <w:pPr>
              <w:rPr>
                <w:rFonts w:ascii="Calibri" w:eastAsia="Times New Roman" w:hAnsi="Calibri" w:cs="Calibri"/>
              </w:rPr>
            </w:pP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AF128E"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67A73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que viven de alquiler de mercado y no son pobres</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E874D8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pobres que viven de alquiler de mercado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B57494"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Jóvenes de 18 a 34 años que viven con sus padres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746317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Índice por personas (−100 a +100)</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AE3E0E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evidencia media o alta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377C0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sin ponderar</w:t>
            </w:r>
          </w:p>
        </w:tc>
      </w:tr>
      <w:tr w:rsidR="00000000" w14:paraId="6ADAC8B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0AE40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P1 · Sin perdedores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DA8A3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F4C6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6D461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27FD4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2CB44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C209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C22A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r w:rsidR="00000000" w14:paraId="201FD43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53297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P2 · Solo evidencia firme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698B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1690F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C5233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E3A3C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0F041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1D282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98FC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3385CAD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1D69C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P3 · Más actores beneficiados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6E927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 dotar a ayuntamientos y comunidades para alojar a las personas vulnerables en su barrio;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F59D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96B7F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1BD01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C363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8A6B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6F651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r>
      <w:tr w:rsidR="00000000" w14:paraId="2C8DE6B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C38F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 · Menor coste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6E4C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7DB55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A1CA8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E473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2FA5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EA742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77F8B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r>
      <w:tr w:rsidR="00000000" w14:paraId="5ACDC3F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D7D61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P5 · Más personas beneficiadas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3CF6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endurecer los criterios para conceder hipotecas;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C0543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6C713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4028A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3F75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1598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7BFE0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r>
      <w:tr w:rsidR="00000000" w14:paraId="384A064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397A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P4I · Menor coste social, 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3D88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AF73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F6E43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9CBB7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D076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568EE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B44F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r>
      <w:tr w:rsidR="00000000" w14:paraId="7A5672C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DFE08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P4M · Menor coste social, 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B59C3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36EFE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9D54E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CF8E7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99560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537F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18D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bl>
    <w:p w14:paraId="617E11EF" w14:textId="77777777" w:rsidR="00A55FEC" w:rsidRDefault="00A55FEC">
      <w:pPr>
        <w:pStyle w:val="Ttulo3"/>
        <w:rPr>
          <w:rFonts w:ascii="Calibri" w:eastAsia="Times New Roman" w:hAnsi="Calibri" w:cs="Calibri"/>
        </w:rPr>
      </w:pPr>
      <w:r>
        <w:rPr>
          <w:rFonts w:ascii="Calibri" w:eastAsia="Times New Roman" w:hAnsi="Calibri" w:cs="Calibri"/>
        </w:rPr>
        <w:t>Los escenarios</w:t>
      </w:r>
    </w:p>
    <w:tbl>
      <w:tblPr>
        <w:tblW w:w="5000" w:type="pct"/>
        <w:tblCellMar>
          <w:top w:w="15" w:type="dxa"/>
          <w:left w:w="15" w:type="dxa"/>
          <w:bottom w:w="15" w:type="dxa"/>
          <w:right w:w="15" w:type="dxa"/>
        </w:tblCellMar>
        <w:tblLook w:val="04A0" w:firstRow="1" w:lastRow="0" w:firstColumn="1" w:lastColumn="0" w:noHBand="0" w:noVBand="1"/>
      </w:tblPr>
      <w:tblGrid>
        <w:gridCol w:w="1579"/>
        <w:gridCol w:w="3586"/>
        <w:gridCol w:w="1864"/>
        <w:gridCol w:w="1864"/>
        <w:gridCol w:w="1864"/>
        <w:gridCol w:w="1291"/>
        <w:gridCol w:w="1147"/>
        <w:gridCol w:w="1147"/>
      </w:tblGrid>
      <w:tr w:rsidR="00000000" w14:paraId="05117E75" w14:textId="77777777" w:rsidTr="00A55FE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C82EF57" w14:textId="77777777" w:rsidR="00A55FEC" w:rsidRDefault="00A55FEC">
            <w:pPr>
              <w:rPr>
                <w:rFonts w:ascii="Calibri" w:eastAsia="Times New Roman" w:hAnsi="Calibri" w:cs="Calibri"/>
              </w:rPr>
            </w:pP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624BD9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8918C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que viven de alquiler de mercado y no son pobres</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894200"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pobres que viven de alquiler de mercado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B59F1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Jóvenes de 18 a 34 años que viven con sus padres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6A50BD3"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Índice por personas (−100 a +100)</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C368A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evidencia media o alta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792C80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sin ponderar</w:t>
            </w:r>
          </w:p>
        </w:tc>
      </w:tr>
      <w:tr w:rsidR="00000000" w14:paraId="6EA597A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2CF8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55FB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9E5D2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974F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B91DF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F7EB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6C57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57F0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r>
      <w:tr w:rsidR="00000000" w14:paraId="63C519B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6FEE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5E219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A60E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A3BA8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38CE7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55DF9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+78,8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6F38F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E9FE1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r w:rsidR="00000000" w14:paraId="0E06AB0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7829C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E81FF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1E60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69FE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8C3B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89F6E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D22CE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114E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r>
      <w:tr w:rsidR="00000000" w14:paraId="27C72A6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C543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974A3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0745C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0D7BD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5429E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D7DA4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ED14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10778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r>
      <w:tr w:rsidR="00000000" w14:paraId="1673AEC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169A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2F487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CEA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B4A4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0BFC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DF37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9383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9E782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3336C37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040C6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5DF4D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87838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CE73B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2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3A160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6B457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54879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E1E5B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r w:rsidR="00000000" w14:paraId="3D816B2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F4D31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52072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E9EE3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6475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2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E2C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0BEC5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764EC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B7D56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r w:rsidR="00000000" w14:paraId="6E9DDA2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F7FE7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E948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9CF4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E2D4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ECF19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mejoran y 2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FC76D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+38,2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68A35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4E72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67B4A2B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C600C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179AC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9A3DC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41DC6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B2449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1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FD82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7EDDC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F441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4C0D904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D3175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32CAF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A1D46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5D54D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8DBB5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2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59BC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93BD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E2135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243C25D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63F3A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87A9B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87572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2671E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ED118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2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C705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22FB7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16E4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0F4179A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84188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AE873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86AA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mejoran y 3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39FA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3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47F4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2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73C7E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896B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4A2A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bl>
    <w:p w14:paraId="5DE421E7" w14:textId="77777777" w:rsidR="00A55FEC" w:rsidRDefault="00A55FEC">
      <w:pPr>
        <w:pStyle w:val="Ttulo3"/>
        <w:rPr>
          <w:rFonts w:ascii="Calibri" w:eastAsia="Times New Roman" w:hAnsi="Calibri" w:cs="Calibri"/>
        </w:rPr>
      </w:pPr>
      <w:r>
        <w:rPr>
          <w:rFonts w:ascii="Calibri" w:eastAsia="Times New Roman" w:hAnsi="Calibri" w:cs="Calibri"/>
        </w:rPr>
        <w:t>Cada medida</w:t>
      </w:r>
    </w:p>
    <w:tbl>
      <w:tblPr>
        <w:tblW w:w="5000" w:type="pct"/>
        <w:tblCellMar>
          <w:top w:w="15" w:type="dxa"/>
          <w:left w:w="15" w:type="dxa"/>
          <w:bottom w:w="15" w:type="dxa"/>
          <w:right w:w="15" w:type="dxa"/>
        </w:tblCellMar>
        <w:tblLook w:val="04A0" w:firstRow="1" w:lastRow="0" w:firstColumn="1" w:lastColumn="0" w:noHBand="0" w:noVBand="1"/>
      </w:tblPr>
      <w:tblGrid>
        <w:gridCol w:w="4302"/>
        <w:gridCol w:w="1433"/>
        <w:gridCol w:w="1578"/>
        <w:gridCol w:w="1578"/>
        <w:gridCol w:w="1578"/>
        <w:gridCol w:w="1291"/>
        <w:gridCol w:w="1291"/>
        <w:gridCol w:w="1291"/>
      </w:tblGrid>
      <w:tr w:rsidR="00000000" w14:paraId="67F885DE" w14:textId="77777777" w:rsidTr="00A55FEC">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3F583E5"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 aislada</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D1AE0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30E011C"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que viven de alquiler de mercado y no son pobres</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B4D5C5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pobres que viven de alquiler de mercado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1DC9F9F"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Jóvenes de 18 a 34 años que viven con sus padres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E44FC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Índice por personas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CD58E4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evidencia media o alta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BF7BA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sin ponderar</w:t>
            </w:r>
          </w:p>
        </w:tc>
      </w:tr>
      <w:tr w:rsidR="00000000" w14:paraId="30DBE08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3496A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853C7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6CB3D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3BEB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69CB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A7BEC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4F84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9C28F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r>
      <w:tr w:rsidR="00000000" w14:paraId="2F5EBD0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40497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4F589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05496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DCE98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F6CD7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35DCC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64544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1FD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54DCE22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8671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9A80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6F068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B476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F481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0E203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F74AE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01671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5448248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DBE0B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las ventajas fiscales de socimis y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49507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163C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D0AF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1A07A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A5A4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9AF7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BC850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r>
      <w:tr w:rsidR="00000000" w14:paraId="14934E2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AD1CD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9266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81ED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80D29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1BD7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BB26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9791A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BA852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5670347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2A53A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D943C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0A160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FB607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AF590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F6CE5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+38,2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578C7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B3AFE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2848AA3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9A9E1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B09E4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B5825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55BD9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57F5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71CB3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8E2B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2735D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07CD301C"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B682D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Regular 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C5D5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8D61B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E9D14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0EE5B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90660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A77A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137DC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1B38559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BB5C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DA071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4E682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E6A7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486B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44331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6853A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E92F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0F45003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3919A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las zonas con tope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99657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D7867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4E48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30717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7EF8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0FCE1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61494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495D3E9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26D6A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protección legal del inquilino que hoy recae sobre el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05FB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90D24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DFB7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81FFF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5E51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+17,1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73C5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5F62C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6ED8677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3605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las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DF09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B485C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7D46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FA74E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64B20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F12D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52501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536489F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060E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684A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F37BC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E0D87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DE00A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CC37A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FB6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88DBC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40F648D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D50F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 inversión pública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8398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F4889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284BA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EA9D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9811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D8E00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17CBE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532B73A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5442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9A74D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815E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09D10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41B0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AEE6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CA53F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02F98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3FBB3E3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FFBB5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C28F8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9449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98920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6A2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3EB74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091D3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3AB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054B97C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E551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Suprimir los recargos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2230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CDCE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A42BD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1C1D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E6824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203BC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A2094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433CB39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B829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DC30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4EE9A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65D7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12A9C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0938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C8FD3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836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24AEE48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C25F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las ayudas al alquiler y los avales 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8D58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54A8D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DD8D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D43AF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722F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356CF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A331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60704CD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82C20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Reforzar la protección legal del inquilino frente al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A40F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7BF77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143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1C688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E3ED1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-17,1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0BA5E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E9911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4F9614A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FB48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FCBD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FCBD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6CBE5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CE0BE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AAAA8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5BE2B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14733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449F5EA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A2F95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rebaja fiscal al propietario que alquila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44AB6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clasificar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6FEFE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540D5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0D6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9AF4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44DFF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51365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58EBB53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E465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programas de garantía pública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DC669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59A96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C4540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D907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C14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-38,2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AABE7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5B0C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7E77E58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94816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Relajar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355E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8981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436FE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29B4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F9F2E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E8B04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BF99B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050CDA5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AE52A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Mejorar el trato fiscal de socimis y fondos que invierten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A5910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B9BAD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42C41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6A9B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D0C76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7D6B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8525E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r>
      <w:tr w:rsidR="00000000" w14:paraId="7477F17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21FB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Liberalizar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ADBB9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01C2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8244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8B10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F5D6C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CF9D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488DE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r>
    </w:tbl>
    <w:p w14:paraId="38773E51"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Lectura.</w:t>
      </w:r>
    </w:p>
    <w:p w14:paraId="519E8C68" w14:textId="77777777" w:rsidR="00A55FEC" w:rsidRDefault="00A55FEC">
      <w:pPr>
        <w:numPr>
          <w:ilvl w:val="0"/>
          <w:numId w:val="4"/>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Ponderar por personas no cambia el orden.</w:t>
      </w:r>
      <w:r>
        <w:rPr>
          <w:rFonts w:ascii="Calibri" w:eastAsia="Times New Roman" w:hAnsi="Calibri" w:cs="Calibri"/>
          <w:color w:val="1F2933"/>
          <w:sz w:val="21"/>
          <w:szCs w:val="21"/>
        </w:rPr>
        <w:t xml:space="preserve"> El paquete de menor coste social sigue arriba (+89,4), empatado con otros dos; lo que lo separa es la evidencia firme, con la que obtiene +59,9.</w:t>
      </w:r>
    </w:p>
    <w:p w14:paraId="4A7D4999" w14:textId="77777777" w:rsidR="00A55FEC" w:rsidRDefault="00A55FEC">
      <w:pPr>
        <w:numPr>
          <w:ilvl w:val="0"/>
          <w:numId w:val="4"/>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Tu paquete completo (E7) da +53,3.</w:t>
      </w:r>
      <w:r>
        <w:rPr>
          <w:rFonts w:ascii="Calibri" w:eastAsia="Times New Roman" w:hAnsi="Calibri" w:cs="Calibri"/>
          <w:color w:val="1F2933"/>
          <w:sz w:val="21"/>
          <w:szCs w:val="21"/>
        </w:rPr>
        <w:t xml:space="preserve"> Restringir solo el uso turístico da +70,3.</w:t>
      </w:r>
    </w:p>
    <w:p w14:paraId="437D47ED" w14:textId="77777777" w:rsidR="00A55FEC" w:rsidRDefault="00A55FEC">
      <w:pPr>
        <w:numPr>
          <w:ilvl w:val="0"/>
          <w:numId w:val="4"/>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tope al alquiler da +27,6 con toda la evidencia y +8,4 con la firme.</w:t>
      </w:r>
      <w:r>
        <w:rPr>
          <w:rFonts w:ascii="Calibri" w:eastAsia="Times New Roman" w:hAnsi="Calibri" w:cs="Calibri"/>
          <w:color w:val="1F2933"/>
          <w:sz w:val="21"/>
          <w:szCs w:val="21"/>
        </w:rPr>
        <w:t xml:space="preserve"> Mejora a quienes ya alquilan más que a los jóvenes que quieren entrar.</w:t>
      </w:r>
    </w:p>
    <w:p w14:paraId="383D24AB" w14:textId="77777777" w:rsidR="00A55FEC" w:rsidRDefault="00A55FEC">
      <w:pPr>
        <w:numPr>
          <w:ilvl w:val="0"/>
          <w:numId w:val="4"/>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Reforzar la protección del inquilino da −17,1</w:t>
      </w:r>
      <w:r>
        <w:rPr>
          <w:rFonts w:ascii="Calibri" w:eastAsia="Times New Roman" w:hAnsi="Calibri" w:cs="Calibri"/>
          <w:color w:val="1F2933"/>
          <w:sz w:val="21"/>
          <w:szCs w:val="21"/>
        </w:rPr>
        <w:t>, y liberalizar el uso turístico, −70,3.</w:t>
      </w:r>
    </w:p>
    <w:p w14:paraId="1CB4783C" w14:textId="77777777" w:rsidR="00A55FEC" w:rsidRDefault="00A55FEC">
      <w:pPr>
        <w:numPr>
          <w:ilvl w:val="0"/>
          <w:numId w:val="4"/>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vivienda pública da índices positivos pero pequeños</w:t>
      </w:r>
      <w:r>
        <w:rPr>
          <w:rFonts w:ascii="Calibri" w:eastAsia="Times New Roman" w:hAnsi="Calibri" w:cs="Calibri"/>
          <w:color w:val="1F2933"/>
          <w:sz w:val="21"/>
          <w:szCs w:val="21"/>
        </w:rPr>
        <w:t xml:space="preserve"> (+4,1 invertir en vivienda protegida y la compra pública; +2,1 dotar a los ayuntamientos). Ayuda a las personas pobres que alquilan; en el mapa, al aliviar el alquiler aumenta la demanda de compra y eso encarece la compra para los jóvenes. Esa cadena tiene confianza baja.</w:t>
      </w:r>
    </w:p>
    <w:p w14:paraId="52754D8B" w14:textId="77777777" w:rsidR="00A55FEC" w:rsidRDefault="00A55FEC">
      <w:pPr>
        <w:pStyle w:val="Ttulo2"/>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11. Si tus tres premisas son ciertas</w:t>
      </w:r>
    </w:p>
    <w:p w14:paraId="792CACBA" w14:textId="77777777" w:rsidR="00A55FEC" w:rsidRDefault="00A55FEC">
      <w:pPr>
        <w:pStyle w:val="NormalWeb"/>
        <w:rPr>
          <w:rFonts w:ascii="Calibri" w:hAnsi="Calibri" w:cs="Calibri"/>
          <w:color w:val="1F2933"/>
          <w:sz w:val="21"/>
          <w:szCs w:val="21"/>
        </w:rPr>
      </w:pPr>
      <w:r>
        <w:rPr>
          <w:rFonts w:ascii="Calibri" w:hAnsi="Calibri" w:cs="Calibri"/>
          <w:color w:val="1F2933"/>
          <w:sz w:val="21"/>
          <w:szCs w:val="21"/>
        </w:rPr>
        <w:t xml:space="preserve">Sobre los tres puntos que nadie ha medido, sostienes una posición. No es evidencia y no entra en el cálculo base, pero se puede hacer la cuenta de qué ocurriría </w:t>
      </w:r>
      <w:r>
        <w:rPr>
          <w:rFonts w:ascii="Calibri" w:hAnsi="Calibri" w:cs="Calibri"/>
          <w:b/>
          <w:bCs/>
          <w:color w:val="1F2933"/>
          <w:sz w:val="21"/>
          <w:szCs w:val="21"/>
        </w:rPr>
        <w:t>si fuera cierta</w:t>
      </w:r>
      <w:r>
        <w:rPr>
          <w:rFonts w:ascii="Calibri" w:hAnsi="Calibri" w:cs="Calibri"/>
          <w:color w:val="1F2933"/>
          <w:sz w:val="21"/>
          <w:szCs w:val="21"/>
        </w:rPr>
        <w:t>. Es la forma de saber cuánto depende el resultado de cada dato que falta.</w:t>
      </w:r>
    </w:p>
    <w:tbl>
      <w:tblPr>
        <w:tblW w:w="5000" w:type="pct"/>
        <w:tblCellMar>
          <w:top w:w="15" w:type="dxa"/>
          <w:left w:w="15" w:type="dxa"/>
          <w:bottom w:w="15" w:type="dxa"/>
          <w:right w:w="15" w:type="dxa"/>
        </w:tblCellMar>
        <w:tblLook w:val="04A0" w:firstRow="1" w:lastRow="0" w:firstColumn="1" w:lastColumn="0" w:noHBand="0" w:noVBand="1"/>
      </w:tblPr>
      <w:tblGrid>
        <w:gridCol w:w="573"/>
        <w:gridCol w:w="4303"/>
        <w:gridCol w:w="4016"/>
        <w:gridCol w:w="5450"/>
      </w:tblGrid>
      <w:tr w:rsidR="00000000" w14:paraId="4C6B391B" w14:textId="77777777" w:rsidTr="00A55FEC">
        <w:tc>
          <w:tcPr>
            <w:tcW w:w="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EB569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Nº</w:t>
            </w:r>
          </w:p>
        </w:tc>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C6635AC"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Lo que sostiene JC</w:t>
            </w:r>
          </w:p>
        </w:tc>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25FE9E"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cambia en el cálculo</w:t>
            </w:r>
          </w:p>
        </w:tc>
        <w:tc>
          <w:tcPr>
            <w:tcW w:w="1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A5EC6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Lo que dice lo localizado</w:t>
            </w:r>
          </w:p>
        </w:tc>
      </w:tr>
      <w:tr w:rsidR="00000000" w14:paraId="3D95265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AAD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51A40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viviendas que dejan de ser turísticas van sobre todo al alquiler convencional, otras a la venta, y pocas se quedan sin alquilar.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0EB2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 retira del cálculo el desvío del uso turístico al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D752E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Nadie lo ha medido en España. En la Comunidad de Madrid, el 83 % de las solicitudes de registro de corta duración son de temporada, y el Banco de España plantea ese desvío como posible. Fuera, las viviendas volvieron al alquiler en Irvine, Los Ángeles y Berlín, y no en Santa Mónica.</w:t>
            </w:r>
          </w:p>
        </w:tc>
      </w:tr>
      <w:tr w:rsidR="00000000" w14:paraId="1BC45FE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ED96B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BC285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inquilinos que salen cuando se compra un edificio generan normalmente un expediente de desahucio con intervención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64C2C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compra de edificios enteros pasa a empujar directamente la 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26F4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única medición (IDRA, encuesta no probabilística) dice lo contrario: solo el 1,5 % de las mudanzas forzosas fue por orden judicial. El CGPJ no separa los lanzamientos por fin de contrato de los de impago.</w:t>
            </w:r>
          </w:p>
        </w:tc>
      </w:tr>
      <w:tr w:rsidR="00000000" w14:paraId="0ABAC81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9FB14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5FD50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Fondos y socimis agravan la escasez y suben el alquiler, porque destinan las viviendas a apartamentos turísticos y no a residencia de larga duración.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7BE27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compra de vivienda existente por inversores pasa a aumentar las viviendas turísticas, y los edificios comprados en bloque pasan 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AB5A7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literatura localizada distingue dos actores. Los grandes fondos (Blackstone, Cerberus) compraron carteras de bancos y vivienda pública en la periferia y las explotan como alquiler residencial, con subidas de renta y rotación de inquilinos; el turismo lo abordan comprando hoteles. Quienes compran edificios céntricos para vaciarlos y pasarlos a turístico, lujo o temporada son inversores locales medianos y socimis pequeñas. En Barcelona, el 56 % de las licencias turísticas es de personas jurídicas, pero nin</w:t>
            </w:r>
            <w:r>
              <w:rPr>
                <w:rFonts w:ascii="Calibri" w:eastAsia="Times New Roman" w:hAnsi="Calibri" w:cs="Calibri"/>
                <w:color w:val="1F2933"/>
                <w:sz w:val="18"/>
                <w:szCs w:val="18"/>
              </w:rPr>
              <w:t>gún propietario supera los 200 apartamentos. Nadie cuantifica las viviendas convertidas.</w:t>
            </w:r>
          </w:p>
        </w:tc>
      </w:tr>
    </w:tbl>
    <w:p w14:paraId="3A9B2F63" w14:textId="77777777" w:rsidR="00A55FEC" w:rsidRDefault="00A55FEC">
      <w:pPr>
        <w:pStyle w:val="Ttulo3"/>
        <w:rPr>
          <w:rFonts w:ascii="Calibri" w:eastAsia="Times New Roman" w:hAnsi="Calibri" w:cs="Calibri"/>
        </w:rPr>
      </w:pPr>
      <w:r>
        <w:rPr>
          <w:rFonts w:ascii="Calibri" w:eastAsia="Times New Roman" w:hAnsi="Calibri" w:cs="Calibri"/>
        </w:rPr>
        <w:t>El mejor paquete de cada familia, con las premisas</w:t>
      </w:r>
    </w:p>
    <w:tbl>
      <w:tblPr>
        <w:tblW w:w="5000" w:type="pct"/>
        <w:tblCellMar>
          <w:top w:w="15" w:type="dxa"/>
          <w:left w:w="15" w:type="dxa"/>
          <w:bottom w:w="15" w:type="dxa"/>
          <w:right w:w="15" w:type="dxa"/>
        </w:tblCellMar>
        <w:tblLook w:val="04A0" w:firstRow="1" w:lastRow="0" w:firstColumn="1" w:lastColumn="0" w:noHBand="0" w:noVBand="1"/>
      </w:tblPr>
      <w:tblGrid>
        <w:gridCol w:w="1865"/>
        <w:gridCol w:w="4733"/>
        <w:gridCol w:w="1004"/>
        <w:gridCol w:w="1004"/>
        <w:gridCol w:w="1147"/>
        <w:gridCol w:w="1147"/>
        <w:gridCol w:w="1291"/>
        <w:gridCol w:w="2151"/>
      </w:tblGrid>
      <w:tr w:rsidR="00000000" w14:paraId="35C900D2" w14:textId="77777777" w:rsidTr="00A55FE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E75CDA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 de medidas</w:t>
            </w:r>
          </w:p>
        </w:tc>
        <w:tc>
          <w:tcPr>
            <w:tcW w:w="1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85FF7C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 paquete si las premisas son ciertas</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B090D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B146E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F9A145"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6ACCB5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premisas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E021C2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del mismo paquete solo con evidencia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1FDEF0F"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resultados sociales empeoran</w:t>
            </w:r>
          </w:p>
        </w:tc>
      </w:tr>
      <w:tr w:rsidR="00000000" w14:paraId="0FD444B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3141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Cualquiera (se pueden mezclar)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9EEAE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A5EA7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21D06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45814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7C28B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323A9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FD709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5E17D18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5DED3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630A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8AA2C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3E0A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1DFBC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51A3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F9DF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F4C4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5BEF59B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CE5C0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AD113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797BC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8EB8F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59D7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A0F38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C3B0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60FDA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bl>
    <w:p w14:paraId="085192DB" w14:textId="77777777" w:rsidR="00A55FEC" w:rsidRDefault="00A55FEC">
      <w:pPr>
        <w:pStyle w:val="Ttulo3"/>
        <w:rPr>
          <w:rFonts w:ascii="Calibri" w:eastAsia="Times New Roman" w:hAnsi="Calibri" w:cs="Calibri"/>
        </w:rPr>
      </w:pPr>
      <w:r>
        <w:rPr>
          <w:rFonts w:ascii="Calibri" w:eastAsia="Times New Roman" w:hAnsi="Calibri" w:cs="Calibri"/>
        </w:rPr>
        <w:t>Cada medida, con y sin premisas</w:t>
      </w:r>
    </w:p>
    <w:tbl>
      <w:tblPr>
        <w:tblW w:w="5000" w:type="pct"/>
        <w:tblCellMar>
          <w:top w:w="15" w:type="dxa"/>
          <w:left w:w="15" w:type="dxa"/>
          <w:bottom w:w="15" w:type="dxa"/>
          <w:right w:w="15" w:type="dxa"/>
        </w:tblCellMar>
        <w:tblLook w:val="04A0" w:firstRow="1" w:lastRow="0" w:firstColumn="1" w:lastColumn="0" w:noHBand="0" w:noVBand="1"/>
      </w:tblPr>
      <w:tblGrid>
        <w:gridCol w:w="6598"/>
        <w:gridCol w:w="2008"/>
        <w:gridCol w:w="1864"/>
        <w:gridCol w:w="2151"/>
        <w:gridCol w:w="1721"/>
      </w:tblGrid>
      <w:tr w:rsidR="00000000" w14:paraId="6DB56BB0" w14:textId="77777777" w:rsidTr="00A55FEC">
        <w:tc>
          <w:tcPr>
            <w:tcW w:w="2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C7B9913"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 aislada</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CAC4C9C"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903ED4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solo con evidencia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6B30A0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si las premisas son ciertas</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D944F5C"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Cambio</w:t>
            </w:r>
          </w:p>
        </w:tc>
      </w:tr>
      <w:tr w:rsidR="00000000" w14:paraId="3DA3B6B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F1351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8EEB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026A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38060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4BEBD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58F8741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A65D1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4F320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DE5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9155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8B884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24DCFAC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89B3A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BEC53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A0D93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BA3E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F9592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310E2EA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8CF86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las ventajas fiscales de socimis y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21B6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7158B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66085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5A44C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694BB53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1FE59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B81C3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201B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BC0D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5B36A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514D26F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752E5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Regular 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7FB4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C2D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A683E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1F640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42B8F3D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DD14C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729C2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CCB0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4822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E148F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4F0F4EE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E42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4AE6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427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8367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4D645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63F502B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5299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DBB72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E70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6C3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ADCF4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035CD89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7654B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las zonas con tope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BC9D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9B182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A118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ED92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74FD6FD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ED567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1B15F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27169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9AD24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82FBA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25EA729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9599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 inversión pública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EA35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BCFDE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52A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6E20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02717D1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A3C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protección legal del inquilino que hoy recae sobre el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2395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1F42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482B0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A8953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484EB58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D84C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F3C5E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FBBB3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49B20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3E8A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7146496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96D68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las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B1EF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420E5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2CCAD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E6C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73FC0D7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A4CB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DD8B6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39CB7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3FF81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1D4C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6FBAFD6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9DF15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Suprimir los recargos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405F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9734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8B17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4CCF5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55CF904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98D05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las ayudas al alquiler y los avales 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E0ED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0C61F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161C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4FBB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5E7E27D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DE70E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9CF1A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EE86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A7F4D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67BB0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67C5191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CB8DC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Reforzar la protección legal del inquilino frente al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B76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BC60E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DE87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F22D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451B389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60829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Relajar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7F932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D425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27EC0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95FD1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2453A11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55EB0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rebaja fiscal al propietario que alquila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25D83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clasificar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E46EB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77B62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92AF1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1824341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575E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BFCDC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45EF7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1379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BFA4D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19A0C1E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EF1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programas de garantía pública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AA2C7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78D9F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4F12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C179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425C8E1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3ADB6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Mejorar el trato fiscal de socimis y fondos que invierten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FF281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B23DB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F59D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B1782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4A13DEF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C331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Liberalizar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3E1B9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B43A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3ED6F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CA1EF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bl>
    <w:p w14:paraId="775CE099" w14:textId="77777777" w:rsidR="00A55FEC" w:rsidRDefault="00A55FEC">
      <w:pPr>
        <w:pStyle w:val="Ttulo3"/>
        <w:rPr>
          <w:rFonts w:ascii="Calibri" w:eastAsia="Times New Roman" w:hAnsi="Calibri" w:cs="Calibri"/>
        </w:rPr>
      </w:pPr>
      <w:r>
        <w:rPr>
          <w:rFonts w:ascii="Calibri" w:eastAsia="Times New Roman" w:hAnsi="Calibri" w:cs="Calibri"/>
        </w:rPr>
        <w:t>Los escenarios, con y sin premisas</w:t>
      </w:r>
    </w:p>
    <w:tbl>
      <w:tblPr>
        <w:tblW w:w="5000" w:type="pct"/>
        <w:tblCellMar>
          <w:top w:w="15" w:type="dxa"/>
          <w:left w:w="15" w:type="dxa"/>
          <w:bottom w:w="15" w:type="dxa"/>
          <w:right w:w="15" w:type="dxa"/>
        </w:tblCellMar>
        <w:tblLook w:val="04A0" w:firstRow="1" w:lastRow="0" w:firstColumn="1" w:lastColumn="0" w:noHBand="0" w:noVBand="1"/>
      </w:tblPr>
      <w:tblGrid>
        <w:gridCol w:w="4877"/>
        <w:gridCol w:w="1434"/>
        <w:gridCol w:w="1578"/>
        <w:gridCol w:w="1864"/>
        <w:gridCol w:w="4589"/>
      </w:tblGrid>
      <w:tr w:rsidR="00000000" w14:paraId="530CA8CC" w14:textId="77777777" w:rsidTr="00A55FEC">
        <w:tc>
          <w:tcPr>
            <w:tcW w:w="1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2142FF"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13FC64"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solo con evidencia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C6544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si las premisas son ciertas</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C9D153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 / empeoran / contrarias con premisas</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143D9EF"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empeora con premisas</w:t>
            </w:r>
          </w:p>
        </w:tc>
      </w:tr>
      <w:tr w:rsidR="00000000" w14:paraId="2E97B4A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B487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r>
              <w:rPr>
                <w:rFonts w:ascii="Calibri" w:eastAsia="Times New Roman" w:hAnsi="Calibri" w:cs="Calibri"/>
                <w:color w:val="1F2933"/>
                <w:sz w:val="18"/>
                <w:szCs w:val="18"/>
              </w:rPr>
              <w:t xml:space="preserve"> 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BC615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EE893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13CC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 / 0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8879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0A2F6ED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F9F32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F14D5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311BB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FFE60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 / 0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27C7F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6146AF6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C816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r>
              <w:rPr>
                <w:rFonts w:ascii="Calibri" w:eastAsia="Times New Roman" w:hAnsi="Calibri" w:cs="Calibri"/>
                <w:color w:val="1F2933"/>
                <w:sz w:val="18"/>
                <w:szCs w:val="18"/>
              </w:rPr>
              <w:t xml:space="preserve"> 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BD2EF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BEF4A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BC4C0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 / 0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CE2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034946D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C3294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r>
              <w:rPr>
                <w:rFonts w:ascii="Calibri" w:eastAsia="Times New Roman" w:hAnsi="Calibri" w:cs="Calibri"/>
                <w:color w:val="1F2933"/>
                <w:sz w:val="18"/>
                <w:szCs w:val="18"/>
              </w:rPr>
              <w:t xml:space="preserve"> 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1276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D09F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4845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 / 0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6643F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3982227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ED1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r>
              <w:rPr>
                <w:rFonts w:ascii="Calibri" w:eastAsia="Times New Roman" w:hAnsi="Calibri" w:cs="Calibri"/>
                <w:color w:val="1F2933"/>
                <w:sz w:val="18"/>
                <w:szCs w:val="18"/>
              </w:rPr>
              <w:t xml:space="preserve"> 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17266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2A561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350A8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 / 0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E14E3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59E61A2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7025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r>
              <w:rPr>
                <w:rFonts w:ascii="Calibri" w:eastAsia="Times New Roman" w:hAnsi="Calibri" w:cs="Calibri"/>
                <w:color w:val="1F2933"/>
                <w:sz w:val="18"/>
                <w:szCs w:val="18"/>
              </w:rPr>
              <w:t xml:space="preserve"> 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4AB2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B844B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31201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 3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A8AC4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Exigencia en la selección de inquilinos; Discriminación en el acceso al alquiler</w:t>
            </w:r>
          </w:p>
        </w:tc>
      </w:tr>
      <w:tr w:rsidR="00000000" w14:paraId="43C01C6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86156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r>
              <w:rPr>
                <w:rFonts w:ascii="Calibri" w:eastAsia="Times New Roman" w:hAnsi="Calibri" w:cs="Calibri"/>
                <w:color w:val="1F2933"/>
                <w:sz w:val="18"/>
                <w:szCs w:val="18"/>
              </w:rPr>
              <w:t xml:space="preserve"> 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EFAB9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97A3D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7547F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 3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56DF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Exigencia en la selección de inquilinos; Discriminación en el acceso al alquiler</w:t>
            </w:r>
          </w:p>
        </w:tc>
      </w:tr>
      <w:tr w:rsidR="00000000" w14:paraId="0A85963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0D85A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r>
              <w:rPr>
                <w:rFonts w:ascii="Calibri" w:eastAsia="Times New Roman" w:hAnsi="Calibri" w:cs="Calibri"/>
                <w:color w:val="1F2933"/>
                <w:sz w:val="18"/>
                <w:szCs w:val="18"/>
              </w:rPr>
              <w:t xml:space="preserve"> 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C943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5F895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252D8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 / 3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50096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 Precio de compra de la vivienda; Brecha de riqueza entre propietarios e inquilinos</w:t>
            </w:r>
          </w:p>
        </w:tc>
      </w:tr>
      <w:tr w:rsidR="00000000" w14:paraId="2D551D1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DFFDF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r>
              <w:rPr>
                <w:rFonts w:ascii="Calibri" w:eastAsia="Times New Roman" w:hAnsi="Calibri" w:cs="Calibri"/>
                <w:color w:val="1F2933"/>
                <w:sz w:val="18"/>
                <w:szCs w:val="18"/>
              </w:rPr>
              <w:t xml:space="preserve"> 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1DD11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EBC86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732DB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 2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ACD4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Exigencia en la selección de inquilinos</w:t>
            </w:r>
          </w:p>
        </w:tc>
      </w:tr>
      <w:tr w:rsidR="00000000" w14:paraId="305B327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48D0A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r>
              <w:rPr>
                <w:rFonts w:ascii="Calibri" w:eastAsia="Times New Roman" w:hAnsi="Calibri" w:cs="Calibri"/>
                <w:color w:val="1F2933"/>
                <w:sz w:val="18"/>
                <w:szCs w:val="18"/>
              </w:rPr>
              <w:t xml:space="preserve"> 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7A128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24A5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E6248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 3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15549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 Precio de compra de la vivienda; Brecha de riqueza entre propietarios e inquilinos</w:t>
            </w:r>
          </w:p>
        </w:tc>
      </w:tr>
      <w:tr w:rsidR="00000000" w14:paraId="3723326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AC0AF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r>
              <w:rPr>
                <w:rFonts w:ascii="Calibri" w:eastAsia="Times New Roman" w:hAnsi="Calibri" w:cs="Calibri"/>
                <w:color w:val="1F2933"/>
                <w:sz w:val="18"/>
                <w:szCs w:val="18"/>
              </w:rPr>
              <w:t xml:space="preserve"> 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2DC31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A1C1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7D2FF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3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710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 Precio de compra de la vivienda; Brecha de riqueza entre propietarios e inquilinos</w:t>
            </w:r>
          </w:p>
        </w:tc>
      </w:tr>
      <w:tr w:rsidR="00000000" w14:paraId="72E1366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52A1B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r>
              <w:rPr>
                <w:rFonts w:ascii="Calibri" w:eastAsia="Times New Roman" w:hAnsi="Calibri" w:cs="Calibri"/>
                <w:color w:val="1F2933"/>
                <w:sz w:val="18"/>
                <w:szCs w:val="18"/>
              </w:rPr>
              <w:t xml:space="preserve"> Referencia: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13D28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819E4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A2CE7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5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D73A3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 Mudanzas forzosas de inquilinos sin orden judicial; Esfuerzo de los hogares para comprar; Precio de compra de la vivienda; Brecha de riqueza entre propietarios e inquilinos</w:t>
            </w:r>
          </w:p>
        </w:tc>
      </w:tr>
    </w:tbl>
    <w:p w14:paraId="44F1193C" w14:textId="77777777" w:rsidR="00A55FEC" w:rsidRDefault="00A55FEC">
      <w:pPr>
        <w:pStyle w:val="NormalWeb"/>
        <w:rPr>
          <w:rFonts w:ascii="Calibri" w:hAnsi="Calibri" w:cs="Calibri"/>
          <w:color w:val="1F2933"/>
          <w:sz w:val="21"/>
          <w:szCs w:val="21"/>
        </w:rPr>
      </w:pPr>
      <w:r>
        <w:rPr>
          <w:rFonts w:ascii="Calibri" w:hAnsi="Calibri" w:cs="Calibri"/>
          <w:b/>
          <w:bCs/>
          <w:color w:val="1F2933"/>
          <w:sz w:val="21"/>
          <w:szCs w:val="21"/>
        </w:rPr>
        <w:t>Lectura.</w:t>
      </w:r>
    </w:p>
    <w:p w14:paraId="7061EA89" w14:textId="77777777" w:rsidR="00A55FEC" w:rsidRDefault="00A55FEC">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conclusión sobre fondos y socimis no depende de tu tercera premisa, pero la premisa la refuerza.</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Limitar la compra por inversores da +9 con la evidencia localizada y +12 si además tu premisa es cierta. Retirarles las ventajas fiscales, +7 y +8. Mejorarles el trato fiscal, −7 y −8.</w:t>
      </w:r>
    </w:p>
    <w:p w14:paraId="776F7E81" w14:textId="77777777" w:rsidR="00A55FEC" w:rsidRDefault="00A55FEC">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Con las premisas, la intervención sola alcanza a la mezcla.</w:t>
      </w:r>
      <w:r>
        <w:rPr>
          <w:rFonts w:ascii="Calibri" w:eastAsia="Times New Roman" w:hAnsi="Calibri" w:cs="Calibri"/>
          <w:color w:val="1F2933"/>
          <w:sz w:val="21"/>
          <w:szCs w:val="21"/>
        </w:rPr>
        <w:t xml:space="preserve"> El mejor paquete pasa a ser ampliar la compra pública de viviendas y edificios y limitar la compra por inversores (+13), y es un paquete solo de intervención. Solo con evidencia ya da +10. Solo mercado se queda en +11. Es el único supuesto en que tu tesis se cumple entera, y depende de un dato que no existe: qué hacen los inversores con lo que compran.</w:t>
      </w:r>
    </w:p>
    <w:p w14:paraId="0B551B12" w14:textId="77777777" w:rsidR="00A55FEC" w:rsidRDefault="00A55FEC">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Restringir el uso turístico mejora de +10 a +12.</w:t>
      </w:r>
    </w:p>
    <w:p w14:paraId="5AFC2CEC" w14:textId="77777777" w:rsidR="00A55FEC" w:rsidRDefault="00A55FEC">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tope al alquiler no cambia: +5</w:t>
      </w:r>
      <w:r>
        <w:rPr>
          <w:rFonts w:ascii="Calibri" w:eastAsia="Times New Roman" w:hAnsi="Calibri" w:cs="Calibri"/>
          <w:color w:val="1F2933"/>
          <w:sz w:val="21"/>
          <w:szCs w:val="21"/>
        </w:rPr>
        <w:t>, con dos perjuicios: oferta de alquiler y exigencia al seleccionar inquilinos.</w:t>
      </w:r>
    </w:p>
    <w:p w14:paraId="17543A18" w14:textId="77777777" w:rsidR="00A55FEC" w:rsidRDefault="00A55FEC">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Tu paquete completo (E7) no cambia: +8.</w:t>
      </w:r>
      <w:r>
        <w:rPr>
          <w:rFonts w:ascii="Calibri" w:eastAsia="Times New Roman" w:hAnsi="Calibri" w:cs="Calibri"/>
          <w:color w:val="1F2933"/>
          <w:sz w:val="21"/>
          <w:szCs w:val="21"/>
        </w:rPr>
        <w:t xml:space="preserve"> Sus tres costes vienen del tope y de la protección del inquilino, y ninguna de las tres premisas los toca.</w:t>
      </w:r>
    </w:p>
    <w:p w14:paraId="154574D3" w14:textId="77777777" w:rsidR="00A55FEC" w:rsidRDefault="00A55FEC">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segunda premisa es la que peor encaja con lo localizado</w:t>
      </w:r>
      <w:r>
        <w:rPr>
          <w:rFonts w:ascii="Calibri" w:eastAsia="Times New Roman" w:hAnsi="Calibri" w:cs="Calibri"/>
          <w:color w:val="1F2933"/>
          <w:sz w:val="21"/>
          <w:szCs w:val="21"/>
        </w:rPr>
        <w:t>: en la única encuesta disponible, solo el 1,5 % de las mudanzas forzosas pasó por el juzgado, y los lanzamientos por alquiler bajan de 36.467 en 2019 a 18.317 en 2025 (CGPJ).</w:t>
      </w:r>
    </w:p>
    <w:p w14:paraId="249F8EC8" w14:textId="77777777" w:rsidR="00A55FEC" w:rsidRDefault="00A55FEC">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tercera premisa necesita un matiz que la literatura sí da.</w:t>
      </w:r>
      <w:r>
        <w:rPr>
          <w:rFonts w:ascii="Calibri" w:eastAsia="Times New Roman" w:hAnsi="Calibri" w:cs="Calibri"/>
          <w:color w:val="1F2933"/>
          <w:sz w:val="21"/>
          <w:szCs w:val="21"/>
        </w:rPr>
        <w:t xml:space="preserve"> Lo que describes, comprar para pasar a turístico, lo hacen inversores locales medianos y socimis pequeñas. Los grandes fondos compraron carteras de bancos y vivienda pública y las explotan como alquiler residencial, con subidas de renta. Son dos problemas distintos y piden medidas distintas.</w:t>
      </w:r>
    </w:p>
    <w:p w14:paraId="1835571D" w14:textId="77777777" w:rsidR="00A55FEC" w:rsidRDefault="00A55FEC">
      <w:pPr>
        <w:shd w:val="clear" w:color="auto" w:fill="FEF5E7"/>
        <w:spacing w:after="180"/>
        <w:divId w:val="980229544"/>
        <w:rPr>
          <w:rFonts w:ascii="Calibri" w:eastAsia="Times New Roman" w:hAnsi="Calibri" w:cs="Calibri"/>
          <w:color w:val="1F2933"/>
          <w:sz w:val="21"/>
          <w:szCs w:val="21"/>
        </w:rPr>
      </w:pPr>
      <w:r>
        <w:rPr>
          <w:rFonts w:ascii="Calibri" w:eastAsia="Times New Roman" w:hAnsi="Calibri" w:cs="Calibri"/>
          <w:b/>
          <w:bCs/>
          <w:color w:val="1F2933"/>
          <w:sz w:val="21"/>
          <w:szCs w:val="21"/>
        </w:rPr>
        <w:t>Qué hacer con esto.</w:t>
      </w:r>
      <w:r>
        <w:rPr>
          <w:rFonts w:ascii="Calibri" w:eastAsia="Times New Roman" w:hAnsi="Calibri" w:cs="Calibri"/>
          <w:color w:val="1F2933"/>
          <w:sz w:val="21"/>
          <w:szCs w:val="21"/>
        </w:rPr>
        <w:t xml:space="preserve"> Las premisas no se pueden dar por buenas, pero señalan dónde merece la pena conseguir un dato. El que más cambiaría la decisión sigue siendo el tercero: un recuento del uso de las viviendas en manos de fondos, socimis e inversores locales. En Barcelona ya existe para las licencias turísticas; falta para el resto de ciudades y para el alquiler de temporada.</w:t>
      </w:r>
    </w:p>
    <w:p w14:paraId="515BBFD0" w14:textId="77777777" w:rsidR="00A55FEC" w:rsidRDefault="00A55FEC">
      <w:pPr>
        <w:pStyle w:val="Ttulo2"/>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12. Las hipótesis a contrastar</w:t>
      </w:r>
    </w:p>
    <w:p w14:paraId="47DA64F4" w14:textId="77777777" w:rsidR="00A55FEC" w:rsidRDefault="00A55FEC">
      <w:pPr>
        <w:pStyle w:val="NormalWeb"/>
        <w:rPr>
          <w:rFonts w:ascii="Calibri" w:hAnsi="Calibri" w:cs="Calibri"/>
          <w:color w:val="1F2933"/>
          <w:sz w:val="21"/>
          <w:szCs w:val="21"/>
        </w:rPr>
      </w:pPr>
      <w:r>
        <w:rPr>
          <w:rFonts w:ascii="Calibri" w:hAnsi="Calibri" w:cs="Calibri"/>
          <w:color w:val="1F2933"/>
          <w:sz w:val="21"/>
          <w:szCs w:val="21"/>
        </w:rPr>
        <w:t>El mapa contiene 60 relaciones sin respaldo suficiente: 37 hipótesis, que nadie afirma en la muestra ni tienen fuente, y 23 conjeturas, que afirma un solo actor o están disputadas sin datos. No entran en el cálculo principal. Pero no se tiran: son los grados de libertad del modelo, lo que queda por comprobar. Aquí se calcula qué pasaría si fueran ciertas, con la etiqueta «por confirmar».</w:t>
      </w:r>
    </w:p>
    <w:p w14:paraId="205FCF0B" w14:textId="77777777" w:rsidR="00A55FEC" w:rsidRDefault="00A55FEC">
      <w:pPr>
        <w:shd w:val="clear" w:color="auto" w:fill="FEF5E7"/>
        <w:spacing w:after="180"/>
        <w:divId w:val="1413547382"/>
        <w:rPr>
          <w:rFonts w:ascii="Calibri" w:eastAsia="Times New Roman" w:hAnsi="Calibri" w:cs="Calibri"/>
          <w:color w:val="1F2933"/>
          <w:sz w:val="21"/>
          <w:szCs w:val="21"/>
        </w:rPr>
      </w:pPr>
      <w:r>
        <w:rPr>
          <w:rFonts w:ascii="Calibri" w:eastAsia="Times New Roman" w:hAnsi="Calibri" w:cs="Calibri"/>
          <w:b/>
          <w:bCs/>
          <w:color w:val="1F2933"/>
          <w:sz w:val="21"/>
          <w:szCs w:val="21"/>
        </w:rPr>
        <w:t>Cómo leerlo.</w:t>
      </w:r>
      <w:r>
        <w:rPr>
          <w:rFonts w:ascii="Calibri" w:eastAsia="Times New Roman" w:hAnsi="Calibri" w:cs="Calibri"/>
          <w:color w:val="1F2933"/>
          <w:sz w:val="21"/>
          <w:szCs w:val="21"/>
        </w:rPr>
        <w:t xml:space="preserve"> Hay tres niveles, de más a menos fiable: con evidencia media o alta; con toda la evidencia; y añadiendo además las hipótesis. El tercero no es un resultado: es una exploración. Suponer ciertas todas las hipótesis a la vez tampoco es realista, porque varias se oponen entre sí. Lo más útil es la segunda tabla, que las toma de una en una.</w:t>
      </w:r>
    </w:p>
    <w:p w14:paraId="169689C7" w14:textId="77777777" w:rsidR="00A55FEC" w:rsidRDefault="00A55FEC">
      <w:pPr>
        <w:pStyle w:val="Ttulo3"/>
        <w:rPr>
          <w:rFonts w:ascii="Calibri" w:eastAsia="Times New Roman" w:hAnsi="Calibri" w:cs="Calibri"/>
        </w:rPr>
      </w:pPr>
      <w:r>
        <w:rPr>
          <w:rFonts w:ascii="Calibri" w:eastAsia="Times New Roman" w:hAnsi="Calibri" w:cs="Calibri"/>
        </w:rPr>
        <w:t>Qué hipótesis cambiarían más el resultado</w:t>
      </w:r>
    </w:p>
    <w:p w14:paraId="28305449" w14:textId="77777777" w:rsidR="00A55FEC" w:rsidRDefault="00A55FEC">
      <w:pPr>
        <w:pStyle w:val="NormalWeb"/>
        <w:rPr>
          <w:rFonts w:ascii="Calibri" w:hAnsi="Calibri" w:cs="Calibri"/>
          <w:color w:val="1F2933"/>
          <w:sz w:val="21"/>
          <w:szCs w:val="21"/>
        </w:rPr>
      </w:pPr>
      <w:r>
        <w:rPr>
          <w:rFonts w:ascii="Calibri" w:hAnsi="Calibri" w:cs="Calibri"/>
          <w:color w:val="1F2933"/>
          <w:sz w:val="21"/>
          <w:szCs w:val="21"/>
        </w:rPr>
        <w:t>Cada relación por confirmar se añade, sola, al cálculo con evidencia, y se mira en cuántas de las 26 medidas cambia el saldo social. Es el orden en que conviene contrastarlas: 22 mueven algún resultado y 38 no mueven ninguno.</w:t>
      </w:r>
    </w:p>
    <w:tbl>
      <w:tblPr>
        <w:tblW w:w="5000" w:type="pct"/>
        <w:tblCellMar>
          <w:top w:w="15" w:type="dxa"/>
          <w:left w:w="15" w:type="dxa"/>
          <w:bottom w:w="15" w:type="dxa"/>
          <w:right w:w="15" w:type="dxa"/>
        </w:tblCellMar>
        <w:tblLook w:val="04A0" w:firstRow="1" w:lastRow="0" w:firstColumn="1" w:lastColumn="0" w:noHBand="0" w:noVBand="1"/>
      </w:tblPr>
      <w:tblGrid>
        <w:gridCol w:w="574"/>
        <w:gridCol w:w="6310"/>
        <w:gridCol w:w="1291"/>
        <w:gridCol w:w="1434"/>
        <w:gridCol w:w="1147"/>
        <w:gridCol w:w="3586"/>
      </w:tblGrid>
      <w:tr w:rsidR="00000000" w14:paraId="393FE3CD" w14:textId="77777777" w:rsidTr="00A55FEC">
        <w:tc>
          <w:tcPr>
            <w:tcW w:w="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1E48D0"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Nº</w:t>
            </w:r>
          </w:p>
        </w:tc>
        <w:tc>
          <w:tcPr>
            <w:tcW w:w="2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DC3AA9"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Relación por confirmar</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8C36333"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Clase</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AC17464"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 cuyo saldo cambiaría, de 26</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9B0A80"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Cambio total</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8EEB91A"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Mayor cambio</w:t>
            </w:r>
          </w:p>
        </w:tc>
      </w:tr>
      <w:tr w:rsidR="00000000" w14:paraId="1C9EE30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1302A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593F3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Presión social por la vivienda →(+) Protección legal del inquilino</w:t>
            </w:r>
            <w:r>
              <w:rPr>
                <w:rFonts w:ascii="Calibri" w:eastAsia="Times New Roman" w:hAnsi="Calibri" w:cs="Calibri"/>
                <w:color w:val="1F2933"/>
                <w:sz w:val="18"/>
                <w:szCs w:val="18"/>
              </w:rPr>
              <w:br/>
            </w:r>
            <w:r>
              <w:rPr>
                <w:rFonts w:ascii="Calibri" w:eastAsia="Times New Roman" w:hAnsi="Calibri" w:cs="Calibri"/>
                <w:color w:val="52606D"/>
                <w:sz w:val="18"/>
                <w:szCs w:val="18"/>
              </w:rPr>
              <w:t>La presión social empuja a proteger frente al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DC1C6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3B081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B339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5118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 de +2 a +5</w:t>
            </w:r>
          </w:p>
        </w:tc>
      </w:tr>
      <w:tr w:rsidR="00000000" w14:paraId="5CF6488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9569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FBDC2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Presión social por la vivienda →(+) Frecuencia de cambios normativos</w:t>
            </w:r>
            <w:r>
              <w:rPr>
                <w:rFonts w:ascii="Calibri" w:eastAsia="Times New Roman" w:hAnsi="Calibri" w:cs="Calibri"/>
                <w:color w:val="1F2933"/>
                <w:sz w:val="18"/>
                <w:szCs w:val="18"/>
              </w:rPr>
              <w:br/>
            </w:r>
            <w:r>
              <w:rPr>
                <w:rFonts w:ascii="Calibri" w:eastAsia="Times New Roman" w:hAnsi="Calibri" w:cs="Calibri"/>
                <w:color w:val="52606D"/>
                <w:sz w:val="18"/>
                <w:szCs w:val="18"/>
              </w:rPr>
              <w:t>Cada pico de presión produce un nuevo decreto.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38F9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BBA0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1916F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3A38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 de +1 a +5</w:t>
            </w:r>
          </w:p>
        </w:tc>
      </w:tr>
      <w:tr w:rsidR="00000000" w14:paraId="0BE1053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49BAA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8BC2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Presión social por la vivienda →(+) Inversión pública en vivienda</w:t>
            </w:r>
            <w:r>
              <w:rPr>
                <w:rFonts w:ascii="Calibri" w:eastAsia="Times New Roman" w:hAnsi="Calibri" w:cs="Calibri"/>
                <w:color w:val="1F2933"/>
                <w:sz w:val="18"/>
                <w:szCs w:val="18"/>
              </w:rPr>
              <w:br/>
            </w:r>
            <w:r>
              <w:rPr>
                <w:rFonts w:ascii="Calibri" w:eastAsia="Times New Roman" w:hAnsi="Calibri" w:cs="Calibri"/>
                <w:color w:val="52606D"/>
                <w:sz w:val="18"/>
                <w:szCs w:val="18"/>
              </w:rPr>
              <w:t>La presión social empuja a anunciar inversión en vivienda pública.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B6B2D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6E06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0BBF8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BED43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 de +9 a +8</w:t>
            </w:r>
          </w:p>
        </w:tc>
      </w:tr>
      <w:tr w:rsidR="00000000" w14:paraId="5EA56319"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9226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CE8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 →(+) Desplazamiento de residentes de los centros urbanos</w:t>
            </w:r>
            <w:r>
              <w:rPr>
                <w:rFonts w:ascii="Calibri" w:eastAsia="Times New Roman" w:hAnsi="Calibri" w:cs="Calibri"/>
                <w:color w:val="1F2933"/>
                <w:sz w:val="18"/>
                <w:szCs w:val="18"/>
              </w:rPr>
              <w:br/>
            </w:r>
            <w:r>
              <w:rPr>
                <w:rFonts w:ascii="Calibri" w:eastAsia="Times New Roman" w:hAnsi="Calibri" w:cs="Calibri"/>
                <w:color w:val="52606D"/>
                <w:sz w:val="18"/>
                <w:szCs w:val="18"/>
              </w:rPr>
              <w:t>Cuando la renta sube en la renovación, el hogar se va del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F3BE5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D91D9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00BF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E880E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 de +9 a +10</w:t>
            </w:r>
          </w:p>
        </w:tc>
      </w:tr>
      <w:tr w:rsidR="00000000" w14:paraId="0E8636F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D79FB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17A71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Presión social por la vivienda →(+) Restricción al alquiler turístico</w:t>
            </w:r>
            <w:r>
              <w:rPr>
                <w:rFonts w:ascii="Calibri" w:eastAsia="Times New Roman" w:hAnsi="Calibri" w:cs="Calibri"/>
                <w:color w:val="1F2933"/>
                <w:sz w:val="18"/>
                <w:szCs w:val="18"/>
              </w:rPr>
              <w:br/>
            </w:r>
            <w:r>
              <w:rPr>
                <w:rFonts w:ascii="Calibri" w:eastAsia="Times New Roman" w:hAnsi="Calibri" w:cs="Calibri"/>
                <w:color w:val="52606D"/>
                <w:sz w:val="18"/>
                <w:szCs w:val="18"/>
              </w:rPr>
              <w:t>La presión vecinal empuja a restringir el alquiler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3101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3D85F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4A453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4EA7C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 de +1 a -2</w:t>
            </w:r>
          </w:p>
        </w:tc>
      </w:tr>
      <w:tr w:rsidR="00000000" w14:paraId="246E01F2"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F736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EF391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 →(+) Discriminación en el acceso al alquiler</w:t>
            </w:r>
            <w:r>
              <w:rPr>
                <w:rFonts w:ascii="Calibri" w:eastAsia="Times New Roman" w:hAnsi="Calibri" w:cs="Calibri"/>
                <w:color w:val="1F2933"/>
                <w:sz w:val="18"/>
                <w:szCs w:val="18"/>
              </w:rPr>
              <w:br/>
            </w:r>
            <w:r>
              <w:rPr>
                <w:rFonts w:ascii="Calibri" w:eastAsia="Times New Roman" w:hAnsi="Calibri" w:cs="Calibri"/>
                <w:color w:val="52606D"/>
                <w:sz w:val="18"/>
                <w:szCs w:val="18"/>
              </w:rPr>
              <w:t>Cuando el arrendador puede elegir, los perfiles discriminados son los primeros descartados.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6D93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BD8A4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6F6D4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C158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las zonas con tope al precio del alquiler: de +5 a +3</w:t>
            </w:r>
          </w:p>
        </w:tc>
      </w:tr>
      <w:tr w:rsidR="00000000" w14:paraId="21005B2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D5EA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35204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Demanda de compra como inversión →(+) Oferta de alquiler habitual</w:t>
            </w:r>
            <w:r>
              <w:rPr>
                <w:rFonts w:ascii="Calibri" w:eastAsia="Times New Roman" w:hAnsi="Calibri" w:cs="Calibri"/>
                <w:color w:val="1F2933"/>
                <w:sz w:val="18"/>
                <w:szCs w:val="18"/>
              </w:rPr>
              <w:br/>
            </w:r>
            <w:r>
              <w:rPr>
                <w:rFonts w:ascii="Calibri" w:eastAsia="Times New Roman" w:hAnsi="Calibri" w:cs="Calibri"/>
                <w:color w:val="52606D"/>
                <w:sz w:val="18"/>
                <w:szCs w:val="18"/>
              </w:rPr>
              <w:t>Parte de lo que se compra para invertir se pone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244E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E0ED5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FDB1E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9E53C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 de +9 a +7</w:t>
            </w:r>
          </w:p>
        </w:tc>
      </w:tr>
      <w:tr w:rsidR="00000000" w14:paraId="66208B4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B6801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5C319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 Sobreprecio de las viviendas que entran al mercado de alquiler</w:t>
            </w:r>
            <w:r>
              <w:rPr>
                <w:rFonts w:ascii="Calibri" w:eastAsia="Times New Roman" w:hAnsi="Calibri" w:cs="Calibri"/>
                <w:color w:val="1F2933"/>
                <w:sz w:val="18"/>
                <w:szCs w:val="18"/>
              </w:rPr>
              <w:br/>
            </w:r>
            <w:r>
              <w:rPr>
                <w:rFonts w:ascii="Calibri" w:eastAsia="Times New Roman" w:hAnsi="Calibri" w:cs="Calibri"/>
                <w:color w:val="52606D"/>
                <w:sz w:val="18"/>
                <w:szCs w:val="18"/>
              </w:rPr>
              <w:t>Cuanta menos oferta, más se paga por lo que sale al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E856A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5075B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FF64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578F4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mejorar el trato fiscal de socimis y fondos que invierten en vivienda: de -7 a -5</w:t>
            </w:r>
          </w:p>
        </w:tc>
      </w:tr>
      <w:tr w:rsidR="00000000" w14:paraId="6227E15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8D1A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DD72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Intensidad de la regulación del precio del alquiler →(+) Viviendas de uso turístico</w:t>
            </w:r>
            <w:r>
              <w:rPr>
                <w:rFonts w:ascii="Calibri" w:eastAsia="Times New Roman" w:hAnsi="Calibri" w:cs="Calibri"/>
                <w:color w:val="1F2933"/>
                <w:sz w:val="18"/>
                <w:szCs w:val="18"/>
              </w:rPr>
              <w:br/>
            </w:r>
            <w:r>
              <w:rPr>
                <w:rFonts w:ascii="Calibri" w:eastAsia="Times New Roman" w:hAnsi="Calibri" w:cs="Calibri"/>
                <w:color w:val="52606D"/>
                <w:sz w:val="18"/>
                <w:szCs w:val="18"/>
              </w:rPr>
              <w:t>Con el alquiler habitual topado, parte de la oferta se desvía 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386F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0CF05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6C3DA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86DF0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las zonas con tope al precio del alquiler: de +5 a 0</w:t>
            </w:r>
          </w:p>
        </w:tc>
      </w:tr>
      <w:tr w:rsidR="00000000" w14:paraId="05C4BAF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FBDA5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F3DD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Recargo fiscal a la vivienda vacía →(−) Viviendas vacías en municipios con demanda</w:t>
            </w:r>
            <w:r>
              <w:rPr>
                <w:rFonts w:ascii="Calibri" w:eastAsia="Times New Roman" w:hAnsi="Calibri" w:cs="Calibri"/>
                <w:color w:val="1F2933"/>
                <w:sz w:val="18"/>
                <w:szCs w:val="18"/>
              </w:rPr>
              <w:br/>
            </w:r>
            <w:r>
              <w:rPr>
                <w:rFonts w:ascii="Calibri" w:eastAsia="Times New Roman" w:hAnsi="Calibri" w:cs="Calibri"/>
                <w:color w:val="52606D"/>
                <w:sz w:val="18"/>
                <w:szCs w:val="18"/>
              </w:rPr>
              <w:t>Tener la vivienda vacía sale más caro.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73097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3F15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30CE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6131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 de 0 a +5</w:t>
            </w:r>
          </w:p>
        </w:tc>
      </w:tr>
      <w:tr w:rsidR="00000000" w14:paraId="05E197F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468C1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787AA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Presión social por la vivienda →(+) Regulación del alquiler de temporada</w:t>
            </w:r>
            <w:r>
              <w:rPr>
                <w:rFonts w:ascii="Calibri" w:eastAsia="Times New Roman" w:hAnsi="Calibri" w:cs="Calibri"/>
                <w:color w:val="1F2933"/>
                <w:sz w:val="18"/>
                <w:szCs w:val="18"/>
              </w:rPr>
              <w:br/>
            </w:r>
            <w:r>
              <w:rPr>
                <w:rFonts w:ascii="Calibri" w:eastAsia="Times New Roman" w:hAnsi="Calibri" w:cs="Calibri"/>
                <w:color w:val="52606D"/>
                <w:sz w:val="18"/>
                <w:szCs w:val="18"/>
              </w:rPr>
              <w:t>La presión empuja a cerrar las vías de escape de la regulación.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6835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EA0B5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C27EF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8DD2E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 de +1 a -1</w:t>
            </w:r>
          </w:p>
        </w:tc>
      </w:tr>
      <w:tr w:rsidR="00000000" w14:paraId="6C3B237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02F6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77D9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 →(+) Exclusión residencial</w:t>
            </w:r>
            <w:r>
              <w:rPr>
                <w:rFonts w:ascii="Calibri" w:eastAsia="Times New Roman" w:hAnsi="Calibri" w:cs="Calibri"/>
                <w:color w:val="1F2933"/>
                <w:sz w:val="18"/>
                <w:szCs w:val="18"/>
              </w:rPr>
              <w:br/>
            </w:r>
            <w:r>
              <w:rPr>
                <w:rFonts w:ascii="Calibri" w:eastAsia="Times New Roman" w:hAnsi="Calibri" w:cs="Calibri"/>
                <w:color w:val="52606D"/>
                <w:sz w:val="18"/>
                <w:szCs w:val="18"/>
              </w:rPr>
              <w:t>Quien no cumple los requisitos se queda fuera del mercado formal.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1A481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4CC80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A3031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BB8DC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las zonas con tope al precio del alquiler: de +5 a +3</w:t>
            </w:r>
          </w:p>
        </w:tc>
      </w:tr>
      <w:tr w:rsidR="00000000" w14:paraId="6E38FD0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CCAF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72B3C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 →(+) Precio del alquiler</w:t>
            </w:r>
            <w:r>
              <w:rPr>
                <w:rFonts w:ascii="Calibri" w:eastAsia="Times New Roman" w:hAnsi="Calibri" w:cs="Calibri"/>
                <w:color w:val="1F2933"/>
                <w:sz w:val="18"/>
                <w:szCs w:val="18"/>
              </w:rPr>
              <w:br/>
            </w:r>
            <w:r>
              <w:rPr>
                <w:rFonts w:ascii="Calibri" w:eastAsia="Times New Roman" w:hAnsi="Calibri" w:cs="Calibri"/>
                <w:color w:val="52606D"/>
                <w:sz w:val="18"/>
                <w:szCs w:val="18"/>
              </w:rPr>
              <w:t>Más hogares que viviendas: los inquilinos compiten y la renta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6AD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22D43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5200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1B37D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 de +2 a 0</w:t>
            </w:r>
          </w:p>
        </w:tc>
      </w:tr>
      <w:tr w:rsidR="00000000" w14:paraId="165E08B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FFDE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CC3F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 →(−) Demanda de alquiler habitual</w:t>
            </w:r>
            <w:r>
              <w:rPr>
                <w:rFonts w:ascii="Calibri" w:eastAsia="Times New Roman" w:hAnsi="Calibri" w:cs="Calibri"/>
                <w:color w:val="1F2933"/>
                <w:sz w:val="18"/>
                <w:szCs w:val="18"/>
              </w:rPr>
              <w:br/>
            </w:r>
            <w:r>
              <w:rPr>
                <w:rFonts w:ascii="Calibri" w:eastAsia="Times New Roman" w:hAnsi="Calibri" w:cs="Calibri"/>
                <w:color w:val="52606D"/>
                <w:sz w:val="18"/>
                <w:szCs w:val="18"/>
              </w:rPr>
              <w:t>Cada hogar alojado en vivienda social deja de competir en el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698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A5666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577BD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3737A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 de +2 a +4</w:t>
            </w:r>
          </w:p>
        </w:tc>
      </w:tr>
      <w:tr w:rsidR="00000000" w14:paraId="7BA728C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81E7B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A2518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Presión social por la vivienda →(+) Ayudas públicas a la demanda</w:t>
            </w:r>
            <w:r>
              <w:rPr>
                <w:rFonts w:ascii="Calibri" w:eastAsia="Times New Roman" w:hAnsi="Calibri" w:cs="Calibri"/>
                <w:color w:val="1F2933"/>
                <w:sz w:val="18"/>
                <w:szCs w:val="18"/>
              </w:rPr>
              <w:br/>
            </w:r>
            <w:r>
              <w:rPr>
                <w:rFonts w:ascii="Calibri" w:eastAsia="Times New Roman" w:hAnsi="Calibri" w:cs="Calibri"/>
                <w:color w:val="52606D"/>
                <w:sz w:val="18"/>
                <w:szCs w:val="18"/>
              </w:rPr>
              <w:t>La ayuda directa es la respuesta más rápida y visible.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1DCAC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F848D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0F8B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691D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 de +2 a +4</w:t>
            </w:r>
          </w:p>
        </w:tc>
      </w:tr>
      <w:tr w:rsidR="00000000" w14:paraId="3842647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D59A2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87242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 →(+) Capital institucional que promueve vivienda de alquiler</w:t>
            </w:r>
            <w:r>
              <w:rPr>
                <w:rFonts w:ascii="Calibri" w:eastAsia="Times New Roman" w:hAnsi="Calibri" w:cs="Calibri"/>
                <w:color w:val="1F2933"/>
                <w:sz w:val="18"/>
                <w:szCs w:val="18"/>
              </w:rPr>
              <w:br/>
            </w:r>
            <w:r>
              <w:rPr>
                <w:rFonts w:ascii="Calibri" w:eastAsia="Times New Roman" w:hAnsi="Calibri" w:cs="Calibri"/>
                <w:color w:val="52606D"/>
                <w:sz w:val="18"/>
                <w:szCs w:val="18"/>
              </w:rPr>
              <w:t>La rentabilidad atrae capital profesional.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83CF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AA22F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0C85B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72C6D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las ayudas al alquiler y los avales a la compra: de -1 a +1</w:t>
            </w:r>
          </w:p>
        </w:tc>
      </w:tr>
      <w:tr w:rsidR="00000000" w14:paraId="775F1AB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1524E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6E0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Presión social por la vivienda →(+) Intensidad de la regulación del precio del alquiler</w:t>
            </w:r>
            <w:r>
              <w:rPr>
                <w:rFonts w:ascii="Calibri" w:eastAsia="Times New Roman" w:hAnsi="Calibri" w:cs="Calibri"/>
                <w:color w:val="1F2933"/>
                <w:sz w:val="18"/>
                <w:szCs w:val="18"/>
              </w:rPr>
              <w:br/>
            </w:r>
            <w:r>
              <w:rPr>
                <w:rFonts w:ascii="Calibri" w:eastAsia="Times New Roman" w:hAnsi="Calibri" w:cs="Calibri"/>
                <w:color w:val="52606D"/>
                <w:sz w:val="18"/>
                <w:szCs w:val="18"/>
              </w:rPr>
              <w:t>La presión social empuja a regular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9369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8FF69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F4512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DB267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 de +9 a +11</w:t>
            </w:r>
          </w:p>
        </w:tc>
      </w:tr>
      <w:tr w:rsidR="00000000" w14:paraId="545E58C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FB70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6CEFA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de vivienda existente por inversores →(+) Viviendas de uso turístico</w:t>
            </w:r>
            <w:r>
              <w:rPr>
                <w:rFonts w:ascii="Calibri" w:eastAsia="Times New Roman" w:hAnsi="Calibri" w:cs="Calibri"/>
                <w:color w:val="1F2933"/>
                <w:sz w:val="18"/>
                <w:szCs w:val="18"/>
              </w:rPr>
              <w:br/>
            </w:r>
            <w:r>
              <w:rPr>
                <w:rFonts w:ascii="Calibri" w:eastAsia="Times New Roman" w:hAnsi="Calibri" w:cs="Calibri"/>
                <w:color w:val="52606D"/>
                <w:sz w:val="18"/>
                <w:szCs w:val="18"/>
              </w:rPr>
              <w:t>Fondos y socimis destinan las viviendas que compran a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32429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3176C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A71E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22B9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 de +9 a +12</w:t>
            </w:r>
          </w:p>
        </w:tc>
      </w:tr>
      <w:tr w:rsidR="00000000" w14:paraId="76FEDA0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7FC05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03072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Demanda de compra como inversión →(+) Viviendas vacías en municipios con demanda</w:t>
            </w:r>
            <w:r>
              <w:rPr>
                <w:rFonts w:ascii="Calibri" w:eastAsia="Times New Roman" w:hAnsi="Calibri" w:cs="Calibri"/>
                <w:color w:val="1F2933"/>
                <w:sz w:val="18"/>
                <w:szCs w:val="18"/>
              </w:rPr>
              <w:br/>
            </w:r>
            <w:r>
              <w:rPr>
                <w:rFonts w:ascii="Calibri" w:eastAsia="Times New Roman" w:hAnsi="Calibri" w:cs="Calibri"/>
                <w:color w:val="52606D"/>
                <w:sz w:val="18"/>
                <w:szCs w:val="18"/>
              </w:rPr>
              <w:t>Quien compra esperando plusvalía puede preferir no alquilar.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3711F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897D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A67A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BE5CE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 de +9 a +10</w:t>
            </w:r>
          </w:p>
        </w:tc>
      </w:tr>
      <w:tr w:rsidR="00000000" w14:paraId="0875341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FEABF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17D46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de vivienda existente por inversores →(+) Oferta de alquiler habitual</w:t>
            </w:r>
            <w:r>
              <w:rPr>
                <w:rFonts w:ascii="Calibri" w:eastAsia="Times New Roman" w:hAnsi="Calibri" w:cs="Calibri"/>
                <w:color w:val="1F2933"/>
                <w:sz w:val="18"/>
                <w:szCs w:val="18"/>
              </w:rPr>
              <w:br/>
            </w:r>
            <w:r>
              <w:rPr>
                <w:rFonts w:ascii="Calibri" w:eastAsia="Times New Roman" w:hAnsi="Calibri" w:cs="Calibri"/>
                <w:color w:val="52606D"/>
                <w:sz w:val="18"/>
                <w:szCs w:val="18"/>
              </w:rPr>
              <w:t>La vivienda que compra un inversor para alquilar entra en la oferta de alquiler; si se le impide, la compra un hogar para vivir en ella.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3C84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A1F0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854DD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08320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 de +9 a +7</w:t>
            </w:r>
          </w:p>
        </w:tc>
      </w:tr>
    </w:tbl>
    <w:p w14:paraId="135BD0D0" w14:textId="77777777" w:rsidR="00A55FEC" w:rsidRDefault="00A55FEC">
      <w:pPr>
        <w:numPr>
          <w:ilvl w:val="0"/>
          <w:numId w:val="6"/>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Las que más pesan son las de la respuesta política</w:t>
      </w:r>
      <w:r>
        <w:rPr>
          <w:rFonts w:ascii="Calibri" w:eastAsia="Times New Roman" w:hAnsi="Calibri" w:cs="Calibri"/>
          <w:color w:val="1F2933"/>
          <w:sz w:val="21"/>
          <w:szCs w:val="21"/>
        </w:rPr>
        <w:t>: que la presión social acabe en más protección del inquilino, más cambios de normas, más inversión pública o más restricción turística. Nadie las afirma así en la muestra y nadie las ha medido, y de ellas dependen también cuatro de los ocho arquetipos del sistema.</w:t>
      </w:r>
    </w:p>
    <w:p w14:paraId="44668478" w14:textId="77777777" w:rsidR="00A55FEC" w:rsidRDefault="00A55FEC">
      <w:pPr>
        <w:numPr>
          <w:ilvl w:val="0"/>
          <w:numId w:val="6"/>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Varias afectan a las medidas que más se discuten</w:t>
      </w:r>
      <w:r>
        <w:rPr>
          <w:rFonts w:ascii="Calibri" w:eastAsia="Times New Roman" w:hAnsi="Calibri" w:cs="Calibri"/>
          <w:color w:val="1F2933"/>
          <w:sz w:val="21"/>
          <w:szCs w:val="21"/>
        </w:rPr>
        <w:t>: que el tope al alquiler desvíe oferta al uso turístico lo dejaría en un saldo de cero; que el recargo a la vivienda vacía funcione lo subiría de cero a +5.</w:t>
      </w:r>
    </w:p>
    <w:p w14:paraId="2BF4BF52" w14:textId="77777777" w:rsidR="00A55FEC" w:rsidRDefault="00A55FEC">
      <w:pPr>
        <w:pStyle w:val="Ttulo3"/>
        <w:rPr>
          <w:rFonts w:ascii="Calibri" w:eastAsia="Times New Roman" w:hAnsi="Calibri" w:cs="Calibri"/>
        </w:rPr>
      </w:pPr>
      <w:r>
        <w:rPr>
          <w:rFonts w:ascii="Calibri" w:eastAsia="Times New Roman" w:hAnsi="Calibri" w:cs="Calibri"/>
        </w:rPr>
        <w:t>Cada medida, en los tres niveles</w:t>
      </w:r>
    </w:p>
    <w:tbl>
      <w:tblPr>
        <w:tblW w:w="5000" w:type="pct"/>
        <w:tblCellMar>
          <w:top w:w="15" w:type="dxa"/>
          <w:left w:w="15" w:type="dxa"/>
          <w:bottom w:w="15" w:type="dxa"/>
          <w:right w:w="15" w:type="dxa"/>
        </w:tblCellMar>
        <w:tblLook w:val="04A0" w:firstRow="1" w:lastRow="0" w:firstColumn="1" w:lastColumn="0" w:noHBand="0" w:noVBand="1"/>
      </w:tblPr>
      <w:tblGrid>
        <w:gridCol w:w="5737"/>
        <w:gridCol w:w="1578"/>
        <w:gridCol w:w="1721"/>
        <w:gridCol w:w="1721"/>
        <w:gridCol w:w="2151"/>
        <w:gridCol w:w="1434"/>
      </w:tblGrid>
      <w:tr w:rsidR="00000000" w14:paraId="6869C3E4" w14:textId="77777777" w:rsidTr="00A55FEC">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75C6A74"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 aislada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6CD0C9"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C929764"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EC6D88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toda la evidencia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D6CAC6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si además todas las hipótesis fueran ciertas</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1E8F3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Cambio</w:t>
            </w:r>
          </w:p>
        </w:tc>
      </w:tr>
      <w:tr w:rsidR="00000000" w14:paraId="19234EB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8CEC8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AC3B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12568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E9B9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F2BC5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2FB44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446F0F7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8EF32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122B7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1AD62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95EF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0C4C7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DDC22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7E16017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B211C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Regular 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60608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62CF5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80E7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100CB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C4199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0E6E148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43A6C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62C0B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87254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AF2DD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7DE79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2A9A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6B230F71"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172EE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 inversión pública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6E366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2A880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24B1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F8830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8A3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537F30B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14625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0D092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2518C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353F1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C1842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F6EA1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5C728EB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DF8A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B94D1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CFB2E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0EA38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A35B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E94E6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3860DBF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A5B5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EE4C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F02FE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6BA0E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08262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AD03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r>
      <w:tr w:rsidR="00000000" w14:paraId="254A37E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E2CF1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2EBE8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11F5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2BE05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92E3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7E9C9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160BA45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506E9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F7B7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211B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3102E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489C4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0132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47ED120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ABBFD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EC9EE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9A174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7B102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266AA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D73A8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658F485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DA70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0BD7E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5E0B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6B21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EE34F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73479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187D959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D750E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las ventajas fiscales de socimis y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78E3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2724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9DF0C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2B63D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A18BD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6FA0621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DF777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protección legal del inquilino que hoy recae sobre el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F745B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3A08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537F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4705F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BB89C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27E0CFF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E0EAC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9C73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F64C3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D7481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F5F10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2C5C6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r w:rsidR="00000000" w14:paraId="48A5487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97826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las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71DE4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68A98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3B625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7E74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B0D34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5AD7A6EA"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DAE8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las ayudas al alquiler y los avales 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15A74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C00F0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0DB2F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98BBA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64A9E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287D3A4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2B333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las zonas con tope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9183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025E7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E60C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03ADE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342BB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r w:rsidR="00000000" w14:paraId="6C3D2BA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30D3B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Reforzar la protección legal del inquilino frente al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36CFD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D1874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3FDD3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16CE8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FD6CA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4BE9A4B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C1D88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Mejorar el trato fiscal de socimis y fondos que invierten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9D7C5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B86E7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7215D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BDF06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BB8BA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18224605"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61D86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Relajar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B7B6E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F1247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11EEC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0255E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A68AA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r>
      <w:tr w:rsidR="00000000" w14:paraId="253A1AB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E4F25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rebaja fiscal al propietario que alquila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332E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clasificar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891EF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76681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84ED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A03C6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6EBB993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202D3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Suprimir los recargos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7329B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1414B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6AA18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C32F4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F986F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r>
      <w:tr w:rsidR="00000000" w14:paraId="57899E6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F15A2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Liberalizar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1D34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780A5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321C0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6AF4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24E59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4379F2C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8E1A7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9897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3C66D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42053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CE26C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B1A0F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0F86E1B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64D4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programas de garantía pública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642A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7A7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C2979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3F55F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D1250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bl>
    <w:p w14:paraId="448D6D8A" w14:textId="77777777" w:rsidR="00A55FEC" w:rsidRDefault="00A55FEC">
      <w:pPr>
        <w:pStyle w:val="Ttulo3"/>
        <w:rPr>
          <w:rFonts w:ascii="Calibri" w:eastAsia="Times New Roman" w:hAnsi="Calibri" w:cs="Calibri"/>
        </w:rPr>
      </w:pPr>
      <w:r>
        <w:rPr>
          <w:rFonts w:ascii="Calibri" w:eastAsia="Times New Roman" w:hAnsi="Calibri" w:cs="Calibri"/>
        </w:rPr>
        <w:t>Los escenarios, en los tres niveles</w:t>
      </w:r>
    </w:p>
    <w:tbl>
      <w:tblPr>
        <w:tblW w:w="5000" w:type="pct"/>
        <w:tblCellMar>
          <w:top w:w="15" w:type="dxa"/>
          <w:left w:w="15" w:type="dxa"/>
          <w:bottom w:w="15" w:type="dxa"/>
          <w:right w:w="15" w:type="dxa"/>
        </w:tblCellMar>
        <w:tblLook w:val="04A0" w:firstRow="1" w:lastRow="0" w:firstColumn="1" w:lastColumn="0" w:noHBand="0" w:noVBand="1"/>
      </w:tblPr>
      <w:tblGrid>
        <w:gridCol w:w="7457"/>
        <w:gridCol w:w="2295"/>
        <w:gridCol w:w="2295"/>
        <w:gridCol w:w="2295"/>
      </w:tblGrid>
      <w:tr w:rsidR="00000000" w14:paraId="5E3A59F9" w14:textId="77777777" w:rsidTr="00A55FEC">
        <w:tc>
          <w:tcPr>
            <w:tcW w:w="2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B014F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E21D6D1"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3B16DF"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toda la evidencia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CE953A3"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si además todas las hipótesis fueran ciertas</w:t>
            </w:r>
          </w:p>
        </w:tc>
      </w:tr>
      <w:tr w:rsidR="00000000" w14:paraId="01027EEF"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A836A"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r>
              <w:rPr>
                <w:rFonts w:ascii="Calibri" w:eastAsia="Times New Roman" w:hAnsi="Calibri" w:cs="Calibri"/>
                <w:color w:val="1F2933"/>
                <w:sz w:val="18"/>
                <w:szCs w:val="18"/>
              </w:rPr>
              <w:t xml:space="preserve"> 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B071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25B9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B1331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w:t>
            </w:r>
          </w:p>
        </w:tc>
      </w:tr>
      <w:tr w:rsidR="00000000" w14:paraId="7CC5812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CC4E6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r>
              <w:rPr>
                <w:rFonts w:ascii="Calibri" w:eastAsia="Times New Roman" w:hAnsi="Calibri" w:cs="Calibri"/>
                <w:color w:val="1F2933"/>
                <w:sz w:val="18"/>
                <w:szCs w:val="18"/>
              </w:rPr>
              <w:t xml:space="preserve"> 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E9568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A987C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CADE7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r>
      <w:tr w:rsidR="00000000" w14:paraId="003B3C24"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F7992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BD9D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A1EB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E4812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r>
      <w:tr w:rsidR="00000000" w14:paraId="6029983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7EE06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r>
              <w:rPr>
                <w:rFonts w:ascii="Calibri" w:eastAsia="Times New Roman" w:hAnsi="Calibri" w:cs="Calibri"/>
                <w:color w:val="1F2933"/>
                <w:sz w:val="18"/>
                <w:szCs w:val="18"/>
              </w:rPr>
              <w:t xml:space="preserve"> 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74D45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0424D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062E4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r>
      <w:tr w:rsidR="00000000" w14:paraId="0FFAAE0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C1EB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r>
              <w:rPr>
                <w:rFonts w:ascii="Calibri" w:eastAsia="Times New Roman" w:hAnsi="Calibri" w:cs="Calibri"/>
                <w:color w:val="1F2933"/>
                <w:sz w:val="18"/>
                <w:szCs w:val="18"/>
              </w:rPr>
              <w:t xml:space="preserve"> 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DCFD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9B093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BDD0A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r>
      <w:tr w:rsidR="00000000" w14:paraId="3D26278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F2F2B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r>
              <w:rPr>
                <w:rFonts w:ascii="Calibri" w:eastAsia="Times New Roman" w:hAnsi="Calibri" w:cs="Calibri"/>
                <w:color w:val="1F2933"/>
                <w:sz w:val="18"/>
                <w:szCs w:val="18"/>
              </w:rPr>
              <w:t xml:space="preserve"> 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56752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DA349D"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2128C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r>
      <w:tr w:rsidR="00000000" w14:paraId="0449B218"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C7E3BF"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7917F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982E4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34165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r>
      <w:tr w:rsidR="00000000" w14:paraId="085836AD"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41F5D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r>
              <w:rPr>
                <w:rFonts w:ascii="Calibri" w:eastAsia="Times New Roman" w:hAnsi="Calibri" w:cs="Calibri"/>
                <w:color w:val="1F2933"/>
                <w:sz w:val="18"/>
                <w:szCs w:val="18"/>
              </w:rPr>
              <w:t xml:space="preserve"> 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804E7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FB2AE"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86899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r>
      <w:tr w:rsidR="00000000" w14:paraId="52DC3CB7"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364AC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DEF25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046CE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D24CE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r>
      <w:tr w:rsidR="00000000" w14:paraId="3E2F4563"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120C2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r>
              <w:rPr>
                <w:rFonts w:ascii="Calibri" w:eastAsia="Times New Roman" w:hAnsi="Calibri" w:cs="Calibri"/>
                <w:color w:val="1F2933"/>
                <w:sz w:val="18"/>
                <w:szCs w:val="18"/>
              </w:rPr>
              <w:t xml:space="preserve"> 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69F01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2B8E39"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FBF69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r>
      <w:tr w:rsidR="00000000" w14:paraId="0C7077BC"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85B49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r>
              <w:rPr>
                <w:rFonts w:ascii="Calibri" w:eastAsia="Times New Roman" w:hAnsi="Calibri" w:cs="Calibri"/>
                <w:color w:val="1F2933"/>
                <w:sz w:val="18"/>
                <w:szCs w:val="18"/>
              </w:rPr>
              <w:t xml:space="preserve"> Referencia: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DE59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D987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9DDE9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r>
      <w:tr w:rsidR="00000000" w14:paraId="244E97C6"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AE21F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59E33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6D75D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E84F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w:t>
            </w:r>
          </w:p>
        </w:tc>
      </w:tr>
    </w:tbl>
    <w:p w14:paraId="76213D53" w14:textId="77777777" w:rsidR="00A55FEC" w:rsidRDefault="00A55FEC">
      <w:pPr>
        <w:pStyle w:val="Ttulo3"/>
        <w:rPr>
          <w:rFonts w:ascii="Calibri" w:eastAsia="Times New Roman" w:hAnsi="Calibri" w:cs="Calibri"/>
        </w:rPr>
      </w:pPr>
      <w:r>
        <w:rPr>
          <w:rFonts w:ascii="Calibri" w:eastAsia="Times New Roman" w:hAnsi="Calibri" w:cs="Calibri"/>
        </w:rPr>
        <w:t>El mejor paquete de cada familia si todas las hipótesis fueran ciertas</w:t>
      </w:r>
    </w:p>
    <w:tbl>
      <w:tblPr>
        <w:tblW w:w="5000" w:type="pct"/>
        <w:tblCellMar>
          <w:top w:w="15" w:type="dxa"/>
          <w:left w:w="15" w:type="dxa"/>
          <w:bottom w:w="15" w:type="dxa"/>
          <w:right w:w="15" w:type="dxa"/>
        </w:tblCellMar>
        <w:tblLook w:val="04A0" w:firstRow="1" w:lastRow="0" w:firstColumn="1" w:lastColumn="0" w:noHBand="0" w:noVBand="1"/>
      </w:tblPr>
      <w:tblGrid>
        <w:gridCol w:w="2152"/>
        <w:gridCol w:w="6167"/>
        <w:gridCol w:w="1147"/>
        <w:gridCol w:w="1147"/>
        <w:gridCol w:w="1291"/>
        <w:gridCol w:w="1004"/>
        <w:gridCol w:w="1434"/>
      </w:tblGrid>
      <w:tr w:rsidR="00000000" w14:paraId="22024502" w14:textId="77777777" w:rsidTr="00A55FE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3A946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 de medidas</w:t>
            </w:r>
          </w:p>
        </w:tc>
        <w:tc>
          <w:tcPr>
            <w:tcW w:w="21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65C5258"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 paquete si todas las hipótesis fueran ciertas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ECFB77D"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1BEEEC2"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DA52BB"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A4AA00"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61A8236" w14:textId="77777777" w:rsidR="00A55FEC" w:rsidRDefault="00A55FEC">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del mismo paquete con la evidencia</w:t>
            </w:r>
          </w:p>
        </w:tc>
      </w:tr>
      <w:tr w:rsidR="00000000" w14:paraId="607DEA10"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1E2D1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Cualquiera (se pueden mezclar)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B4197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 acortar los plazos de tramitación urbanística; regular 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415207"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F4BD0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053B6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54B5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82FC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r w:rsidR="00000000" w14:paraId="3D6B6CDB"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8962E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4BBEC"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CA0B7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615E3"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22A0E0"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826B26"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55460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r w:rsidR="00000000" w14:paraId="0138141E" w14:textId="77777777" w:rsidTr="00A55FE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3BD4E4"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6305AB"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DD5EF8"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10E82"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676D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699401"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5FE745" w14:textId="77777777" w:rsidR="00A55FEC" w:rsidRDefault="00A55FEC">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bl>
    <w:p w14:paraId="5F687267" w14:textId="77777777" w:rsidR="00A55FEC" w:rsidRDefault="00A55FEC">
      <w:pPr>
        <w:pStyle w:val="NormalWeb"/>
        <w:rPr>
          <w:rFonts w:ascii="Calibri" w:hAnsi="Calibri" w:cs="Calibri"/>
          <w:color w:val="1F2933"/>
          <w:sz w:val="21"/>
          <w:szCs w:val="21"/>
        </w:rPr>
      </w:pPr>
      <w:r>
        <w:rPr>
          <w:rFonts w:ascii="Calibri" w:hAnsi="Calibri" w:cs="Calibri"/>
          <w:color w:val="1F2933"/>
          <w:sz w:val="21"/>
          <w:szCs w:val="21"/>
        </w:rPr>
        <w:t>Con todas las hipótesis, la vivienda pública y el recargo a la vivienda vacía suben mucho, y el tope al alquiler y tu paquete completo bajan, en parte porque entran en juego las realimentaciones políticas. Es un aviso de por dónde puede moverse el resultado cuando se sepa más, no una conclusión.</w:t>
      </w:r>
    </w:p>
    <w:p w14:paraId="44F9B967" w14:textId="77777777" w:rsidR="00A55FEC" w:rsidRDefault="00A55FEC">
      <w:pPr>
        <w:pStyle w:val="Ttulo2"/>
        <w:rPr>
          <w:rFonts w:ascii="Calibri" w:eastAsia="Times New Roman" w:hAnsi="Calibri" w:cs="Calibri"/>
        </w:rPr>
      </w:pPr>
      <w:r>
        <w:rPr>
          <w:rFonts w:ascii="Calibri" w:eastAsia="Times New Roman" w:hAnsi="Calibri" w:cs="Calibri"/>
        </w:rPr>
        <w:t>13. Lo que este cálculo no puede afirmar, y qué lo cambiaría</w:t>
      </w:r>
    </w:p>
    <w:p w14:paraId="3B4A7D82" w14:textId="77777777" w:rsidR="00A55FEC" w:rsidRDefault="00A55FEC">
      <w:pPr>
        <w:numPr>
          <w:ilvl w:val="0"/>
          <w:numId w:val="7"/>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Cuántas personas.</w:t>
      </w:r>
      <w:r>
        <w:rPr>
          <w:rFonts w:ascii="Calibri" w:eastAsia="Times New Roman" w:hAnsi="Calibri" w:cs="Calibri"/>
          <w:color w:val="1F2933"/>
          <w:sz w:val="21"/>
          <w:szCs w:val="21"/>
        </w:rPr>
        <w:t xml:space="preserve"> El saldo cuenta resultados, no hogares. Ponderar por personas afectadas exige saber cuántos hogares hay en cada situación; contarlas de verdad exige un modelo con cantidades.</w:t>
      </w:r>
    </w:p>
    <w:p w14:paraId="33BDBCF1" w14:textId="77777777" w:rsidR="00A55FEC" w:rsidRDefault="00A55FEC">
      <w:pPr>
        <w:numPr>
          <w:ilvl w:val="0"/>
          <w:numId w:val="7"/>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Que la intervención no funcione.</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Lo que muestra es que la evidencia que respalda varias medidas de intervención es débil, extranjera o disputada. Las revisiones lo demuestran: al incorporar la literatura sobre fondos, dos medidas pasaron de saldo negativo a positivo, y al incorporar la evidencia sobre vivienda social, la compra pública entró en el paquete ganador. Tres datos más cambiarían el resultado si existieran: el uso al que pasan las viviendas que dejan de ser turísticas; el número de inquilinos que salen cuando un inversor compra u</w:t>
      </w:r>
      <w:r>
        <w:rPr>
          <w:rFonts w:ascii="Calibri" w:eastAsia="Times New Roman" w:hAnsi="Calibri" w:cs="Calibri"/>
          <w:color w:val="1F2933"/>
          <w:sz w:val="21"/>
          <w:szCs w:val="21"/>
        </w:rPr>
        <w:t>n edificio; y una estimación causal del efecto de fondos y socimis sobre el alquiler en España.</w:t>
      </w:r>
    </w:p>
    <w:p w14:paraId="110645CA" w14:textId="77777777" w:rsidR="00A55FEC" w:rsidRDefault="00A55FEC">
      <w:pPr>
        <w:numPr>
          <w:ilvl w:val="0"/>
          <w:numId w:val="7"/>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Que la primera ronda domine.</w:t>
      </w:r>
      <w:r>
        <w:rPr>
          <w:rFonts w:ascii="Calibri" w:eastAsia="Times New Roman" w:hAnsi="Calibri" w:cs="Calibri"/>
          <w:color w:val="1F2933"/>
          <w:sz w:val="21"/>
          <w:szCs w:val="21"/>
        </w:rPr>
        <w:t xml:space="preserve"> En E7, el precio del alquiler mejora con 16 efectos de vuelta en contra y 12 a favor. El mapa no dice cuál pesa más.</w:t>
      </w:r>
    </w:p>
    <w:p w14:paraId="38B020DD" w14:textId="77777777" w:rsidR="00A55FEC" w:rsidRDefault="00A55FEC">
      <w:pPr>
        <w:numPr>
          <w:ilvl w:val="0"/>
          <w:numId w:val="7"/>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Que el marco legal sea estable.</w:t>
      </w:r>
      <w:r>
        <w:rPr>
          <w:rFonts w:ascii="Calibri" w:eastAsia="Times New Roman" w:hAnsi="Calibri" w:cs="Calibri"/>
          <w:color w:val="1F2933"/>
          <w:sz w:val="21"/>
          <w:szCs w:val="21"/>
        </w:rPr>
        <w:t xml:space="preserve"> El Tribunal Supremo anuló en mayo de 2026 el registro único estatal de alquileres de corta duración. Los decretos del 6 de octubre de 2026 (prórrogas de cinco años con indemnización si no se renueva, suspensión de desahucios de hogares vulnerables hasta 2030, tanteo del inquilino aunque se venda el bloque entero, gravamen a las socimis) están en vigor y pendientes de convalidación.</w:t>
      </w:r>
    </w:p>
    <w:p w14:paraId="57E986E4" w14:textId="77777777" w:rsidR="00A55FEC" w:rsidRDefault="00A55FEC">
      <w:pPr>
        <w:numPr>
          <w:ilvl w:val="0"/>
          <w:numId w:val="7"/>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clasificación en familias es una decisión.</w:t>
      </w:r>
      <w:r>
        <w:rPr>
          <w:rFonts w:ascii="Calibri" w:eastAsia="Times New Roman" w:hAnsi="Calibri" w:cs="Calibri"/>
          <w:color w:val="1F2933"/>
          <w:sz w:val="21"/>
          <w:szCs w:val="21"/>
        </w:rPr>
        <w:t xml:space="preserve"> Una garantía pública de cobro figura como intervención aunque beneficie al propietario; una rebaja fiscal figura como mercado aunque sea gasto público. Con otra clasificación, la comparación cambia.</w:t>
      </w:r>
    </w:p>
    <w:sectPr w:rsidR="00000000" w:rsidSect="00A55FEC">
      <w:pgSz w:w="16838" w:h="11906" w:orient="landscape"/>
      <w:pgMar w:top="1240" w:right="1240" w:bottom="1240" w:left="12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2BDB"/>
    <w:multiLevelType w:val="multilevel"/>
    <w:tmpl w:val="79E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45039"/>
    <w:multiLevelType w:val="multilevel"/>
    <w:tmpl w:val="BBB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C70B6"/>
    <w:multiLevelType w:val="multilevel"/>
    <w:tmpl w:val="897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C3C9C"/>
    <w:multiLevelType w:val="multilevel"/>
    <w:tmpl w:val="E21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321B3"/>
    <w:multiLevelType w:val="multilevel"/>
    <w:tmpl w:val="0AC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624CB"/>
    <w:multiLevelType w:val="multilevel"/>
    <w:tmpl w:val="68E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C0357B"/>
    <w:multiLevelType w:val="multilevel"/>
    <w:tmpl w:val="F40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36248">
    <w:abstractNumId w:val="6"/>
  </w:num>
  <w:num w:numId="2" w16cid:durableId="2117092063">
    <w:abstractNumId w:val="3"/>
  </w:num>
  <w:num w:numId="3" w16cid:durableId="1621304372">
    <w:abstractNumId w:val="5"/>
  </w:num>
  <w:num w:numId="4" w16cid:durableId="1101335315">
    <w:abstractNumId w:val="1"/>
  </w:num>
  <w:num w:numId="5" w16cid:durableId="617371598">
    <w:abstractNumId w:val="0"/>
  </w:num>
  <w:num w:numId="6" w16cid:durableId="1300458512">
    <w:abstractNumId w:val="4"/>
  </w:num>
  <w:num w:numId="7" w16cid:durableId="467405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5FEC"/>
    <w:rsid w:val="009A6BB7"/>
    <w:rsid w:val="00A55F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62596"/>
  <w15:chartTrackingRefBased/>
  <w15:docId w15:val="{B3A5F9B6-24E8-48A2-8205-DA7D7637C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60" w:after="120"/>
      <w:outlineLvl w:val="0"/>
    </w:pPr>
    <w:rPr>
      <w:b/>
      <w:bCs/>
      <w:color w:val="12355B"/>
      <w:kern w:val="36"/>
      <w:sz w:val="36"/>
      <w:szCs w:val="36"/>
    </w:rPr>
  </w:style>
  <w:style w:type="paragraph" w:styleId="Ttulo2">
    <w:name w:val="heading 2"/>
    <w:basedOn w:val="Normal"/>
    <w:link w:val="Ttulo2Car"/>
    <w:uiPriority w:val="9"/>
    <w:qFormat/>
    <w:pPr>
      <w:pBdr>
        <w:bottom w:val="single" w:sz="6" w:space="0" w:color="9FB3C8"/>
      </w:pBdr>
      <w:spacing w:before="280" w:after="80"/>
      <w:outlineLvl w:val="1"/>
    </w:pPr>
    <w:rPr>
      <w:b/>
      <w:bCs/>
      <w:color w:val="12355B"/>
      <w:sz w:val="26"/>
      <w:szCs w:val="26"/>
    </w:rPr>
  </w:style>
  <w:style w:type="paragraph" w:styleId="Ttulo3">
    <w:name w:val="heading 3"/>
    <w:basedOn w:val="Normal"/>
    <w:link w:val="Ttulo3Car"/>
    <w:uiPriority w:val="9"/>
    <w:qFormat/>
    <w:pPr>
      <w:spacing w:before="200" w:after="60"/>
      <w:outlineLvl w:val="2"/>
    </w:pPr>
    <w:rPr>
      <w:b/>
      <w:bCs/>
      <w:color w:val="1F5A8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aja">
    <w:name w:val="caja"/>
    <w:basedOn w:val="Normal"/>
    <w:pPr>
      <w:pBdr>
        <w:top w:val="single" w:sz="6" w:space="6" w:color="1F5A8A"/>
        <w:left w:val="single" w:sz="6" w:space="8" w:color="1F5A8A"/>
        <w:bottom w:val="single" w:sz="6" w:space="6" w:color="1F5A8A"/>
        <w:right w:val="single" w:sz="6" w:space="8" w:color="1F5A8A"/>
      </w:pBdr>
      <w:shd w:val="clear" w:color="auto" w:fill="EAF2F8"/>
      <w:spacing w:before="100" w:beforeAutospacing="1" w:after="180"/>
    </w:pPr>
  </w:style>
  <w:style w:type="paragraph" w:customStyle="1" w:styleId="aviso">
    <w:name w:val="aviso"/>
    <w:basedOn w:val="Normal"/>
    <w:pPr>
      <w:pBdr>
        <w:top w:val="single" w:sz="6" w:space="6" w:color="B7791F"/>
        <w:left w:val="single" w:sz="6" w:space="8" w:color="B7791F"/>
        <w:bottom w:val="single" w:sz="6" w:space="6" w:color="B7791F"/>
        <w:right w:val="single" w:sz="6" w:space="8" w:color="B7791F"/>
      </w:pBdr>
      <w:shd w:val="clear" w:color="auto" w:fill="FEF5E7"/>
      <w:spacing w:before="100" w:beforeAutospacing="1" w:after="180"/>
    </w:pPr>
  </w:style>
  <w:style w:type="paragraph" w:customStyle="1" w:styleId="noticia">
    <w:name w:val="noticia"/>
    <w:basedOn w:val="Normal"/>
    <w:pPr>
      <w:pBdr>
        <w:top w:val="single" w:sz="18" w:space="6" w:color="12355B"/>
      </w:pBdr>
      <w:spacing w:before="280" w:after="100" w:afterAutospacing="1"/>
    </w:pPr>
  </w:style>
  <w:style w:type="paragraph" w:customStyle="1" w:styleId="sello">
    <w:name w:val="sello"/>
    <w:basedOn w:val="Normal"/>
    <w:pPr>
      <w:spacing w:before="100" w:beforeAutospacing="1" w:after="100" w:afterAutospacing="1"/>
    </w:pPr>
    <w:rPr>
      <w:b/>
      <w:bCs/>
      <w:color w:val="B7791F"/>
      <w:spacing w:val="20"/>
      <w:sz w:val="17"/>
      <w:szCs w:val="17"/>
    </w:rPr>
  </w:style>
  <w:style w:type="paragraph" w:customStyle="1" w:styleId="titular">
    <w:name w:val="titular"/>
    <w:basedOn w:val="Normal"/>
    <w:pPr>
      <w:spacing w:before="100" w:beforeAutospacing="1" w:after="80"/>
    </w:pPr>
    <w:rPr>
      <w:rFonts w:ascii="Georgia" w:hAnsi="Georgia"/>
      <w:b/>
      <w:bCs/>
      <w:color w:val="102A43"/>
      <w:sz w:val="40"/>
      <w:szCs w:val="40"/>
    </w:rPr>
  </w:style>
  <w:style w:type="paragraph" w:customStyle="1" w:styleId="entradilla">
    <w:name w:val="entradilla"/>
    <w:basedOn w:val="Normal"/>
    <w:pPr>
      <w:spacing w:before="100" w:beforeAutospacing="1" w:after="160"/>
    </w:pPr>
    <w:rPr>
      <w:rFonts w:ascii="Georgia" w:hAnsi="Georgia"/>
      <w:color w:val="334E68"/>
    </w:rPr>
  </w:style>
  <w:style w:type="paragraph" w:customStyle="1" w:styleId="pie">
    <w:name w:val="pie"/>
    <w:basedOn w:val="Normal"/>
    <w:pPr>
      <w:spacing w:before="100" w:beforeAutospacing="1" w:after="100" w:afterAutospacing="1"/>
    </w:pPr>
    <w:rPr>
      <w:color w:val="52606D"/>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64605">
      <w:marLeft w:val="0"/>
      <w:marRight w:val="0"/>
      <w:marTop w:val="0"/>
      <w:marBottom w:val="180"/>
      <w:divBdr>
        <w:top w:val="single" w:sz="6" w:space="6" w:color="1F5A8A"/>
        <w:left w:val="single" w:sz="6" w:space="8" w:color="1F5A8A"/>
        <w:bottom w:val="single" w:sz="6" w:space="6" w:color="1F5A8A"/>
        <w:right w:val="single" w:sz="6" w:space="8" w:color="1F5A8A"/>
      </w:divBdr>
    </w:div>
    <w:div w:id="806163676">
      <w:marLeft w:val="0"/>
      <w:marRight w:val="0"/>
      <w:marTop w:val="0"/>
      <w:marBottom w:val="180"/>
      <w:divBdr>
        <w:top w:val="single" w:sz="6" w:space="6" w:color="B7791F"/>
        <w:left w:val="single" w:sz="6" w:space="8" w:color="B7791F"/>
        <w:bottom w:val="single" w:sz="6" w:space="6" w:color="B7791F"/>
        <w:right w:val="single" w:sz="6" w:space="8" w:color="B7791F"/>
      </w:divBdr>
    </w:div>
    <w:div w:id="980229544">
      <w:marLeft w:val="0"/>
      <w:marRight w:val="0"/>
      <w:marTop w:val="0"/>
      <w:marBottom w:val="180"/>
      <w:divBdr>
        <w:top w:val="single" w:sz="6" w:space="6" w:color="B7791F"/>
        <w:left w:val="single" w:sz="6" w:space="8" w:color="B7791F"/>
        <w:bottom w:val="single" w:sz="6" w:space="6" w:color="B7791F"/>
        <w:right w:val="single" w:sz="6" w:space="8" w:color="B7791F"/>
      </w:divBdr>
    </w:div>
    <w:div w:id="1172723424">
      <w:marLeft w:val="0"/>
      <w:marRight w:val="0"/>
      <w:marTop w:val="0"/>
      <w:marBottom w:val="180"/>
      <w:divBdr>
        <w:top w:val="single" w:sz="6" w:space="6" w:color="B7791F"/>
        <w:left w:val="single" w:sz="6" w:space="8" w:color="B7791F"/>
        <w:bottom w:val="single" w:sz="6" w:space="6" w:color="B7791F"/>
        <w:right w:val="single" w:sz="6" w:space="8" w:color="B7791F"/>
      </w:divBdr>
    </w:div>
    <w:div w:id="1413547382">
      <w:marLeft w:val="0"/>
      <w:marRight w:val="0"/>
      <w:marTop w:val="0"/>
      <w:marBottom w:val="180"/>
      <w:divBdr>
        <w:top w:val="single" w:sz="6" w:space="6" w:color="B7791F"/>
        <w:left w:val="single" w:sz="6" w:space="8" w:color="B7791F"/>
        <w:bottom w:val="single" w:sz="6" w:space="6" w:color="B7791F"/>
        <w:right w:val="single" w:sz="6" w:space="8" w:color="B7791F"/>
      </w:divBdr>
    </w:div>
    <w:div w:id="1449395606">
      <w:marLeft w:val="0"/>
      <w:marRight w:val="0"/>
      <w:marTop w:val="0"/>
      <w:marBottom w:val="180"/>
      <w:divBdr>
        <w:top w:val="single" w:sz="6" w:space="6" w:color="B7791F"/>
        <w:left w:val="single" w:sz="6" w:space="8" w:color="B7791F"/>
        <w:bottom w:val="single" w:sz="6" w:space="6" w:color="B7791F"/>
        <w:right w:val="single" w:sz="6" w:space="8" w:color="B7791F"/>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10151</Words>
  <Characters>55831</Characters>
  <Application>Microsoft Office Word</Application>
  <DocSecurity>4</DocSecurity>
  <Lines>465</Lines>
  <Paragraphs>131</Paragraphs>
  <ScaleCrop>false</ScaleCrop>
  <Company/>
  <LinksUpToDate>false</LinksUpToDate>
  <CharactersWithSpaces>65851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SOIH - Vivienda: coste social</dc:title>
  <dc:subject/>
  <dc:creator>Juan  Siria racero</dc:creator>
  <cp:keywords/>
  <dc:description/>
  <cp:lastModifiedBy>Juan  Siria racero</cp:lastModifiedBy>
  <cp:revision>2</cp:revision>
  <dcterms:created xsi:type="dcterms:W3CDTF">2026-10-12T08:59:00Z</dcterms:created>
  <dcterms:modified xsi:type="dcterms:W3CDTF">2026-10-12T08:59:00Z</dcterms:modified>
</cp:coreProperties>
</file>