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266B6" w14:textId="77777777" w:rsidR="009B7B92" w:rsidRDefault="009B7B92">
      <w:pPr>
        <w:pStyle w:val="Ttulo1"/>
        <w:rPr>
          <w:rFonts w:ascii="Calibri" w:eastAsia="Times New Roman" w:hAnsi="Calibri" w:cs="Calibri"/>
        </w:rPr>
      </w:pPr>
      <w:r>
        <w:rPr>
          <w:rFonts w:ascii="Calibri" w:eastAsia="Times New Roman" w:hAnsi="Calibri" w:cs="Calibri"/>
        </w:rPr>
        <w:t>Vivienda en España: índice de sostenibilidad social</w:t>
      </w:r>
    </w:p>
    <w:p w14:paraId="77BB4747" w14:textId="77777777" w:rsidR="009B7B92" w:rsidRDefault="009B7B92">
      <w:pPr>
        <w:pStyle w:val="pie"/>
        <w:spacing w:before="0" w:beforeAutospacing="0" w:after="120" w:afterAutospacing="0"/>
        <w:rPr>
          <w:rFonts w:ascii="Calibri" w:hAnsi="Calibri" w:cs="Calibri"/>
        </w:rPr>
      </w:pPr>
      <w:r>
        <w:rPr>
          <w:rFonts w:ascii="Calibri" w:hAnsi="Calibri" w:cs="Calibri"/>
        </w:rPr>
        <w:t>Proyecto SOIH · Primera versión · 12 de octubre de 2026 · Base 2015 = 100; más alto es peor</w:t>
      </w:r>
    </w:p>
    <w:p w14:paraId="66AA75F6" w14:textId="77777777" w:rsidR="009B7B92" w:rsidRDefault="009B7B92">
      <w:pPr>
        <w:shd w:val="clear" w:color="auto" w:fill="EAF2F8"/>
        <w:divId w:val="1007365037"/>
        <w:rPr>
          <w:rFonts w:ascii="Calibri" w:eastAsia="Times New Roman" w:hAnsi="Calibri" w:cs="Calibri"/>
          <w:color w:val="1F2933"/>
          <w:sz w:val="21"/>
          <w:szCs w:val="21"/>
        </w:rPr>
      </w:pPr>
      <w:r>
        <w:rPr>
          <w:rFonts w:ascii="Calibri" w:eastAsia="Times New Roman" w:hAnsi="Calibri" w:cs="Calibri"/>
          <w:b/>
          <w:bCs/>
          <w:color w:val="1F2933"/>
          <w:sz w:val="21"/>
          <w:szCs w:val="21"/>
        </w:rPr>
        <w:t>Qué mide.</w:t>
      </w:r>
      <w:r>
        <w:rPr>
          <w:rFonts w:ascii="Calibri" w:eastAsia="Times New Roman" w:hAnsi="Calibri" w:cs="Calibri"/>
          <w:color w:val="1F2933"/>
          <w:sz w:val="21"/>
          <w:szCs w:val="21"/>
        </w:rPr>
        <w:t xml:space="preserve"> </w:t>
      </w:r>
      <w:r>
        <w:rPr>
          <w:rFonts w:ascii="Calibri" w:eastAsia="Times New Roman" w:hAnsi="Calibri" w:cs="Calibri"/>
          <w:color w:val="1F2933"/>
          <w:sz w:val="21"/>
          <w:szCs w:val="21"/>
        </w:rPr>
        <w:t>El daño que el funcionamiento del sistema de vivienda causa a la población, con nueve indicadores oficiales agrupados en tres partes. No mide las causas: el turismo, la inversión, la demografía y la falta de oferta van aparte, como presiones, para poder comprobar si el daño es mayor donde la presión es mayor en lugar de darlo por supuesto.</w:t>
      </w:r>
    </w:p>
    <w:p w14:paraId="347C5248" w14:textId="77777777" w:rsidR="009B7B92" w:rsidRDefault="009B7B92">
      <w:pPr>
        <w:pStyle w:val="Ttulo2"/>
        <w:rPr>
          <w:rFonts w:ascii="Calibri" w:eastAsia="Times New Roman" w:hAnsi="Calibri" w:cs="Calibri"/>
        </w:rPr>
      </w:pPr>
      <w:r>
        <w:rPr>
          <w:rFonts w:ascii="Calibri" w:eastAsia="Times New Roman" w:hAnsi="Calibri" w:cs="Calibri"/>
        </w:rPr>
        <w:t>1. Lo que resulta</w:t>
      </w:r>
    </w:p>
    <w:tbl>
      <w:tblPr>
        <w:tblW w:w="5000" w:type="pct"/>
        <w:tblCellMar>
          <w:top w:w="15" w:type="dxa"/>
          <w:left w:w="15" w:type="dxa"/>
          <w:bottom w:w="15" w:type="dxa"/>
          <w:right w:w="15" w:type="dxa"/>
        </w:tblCellMar>
        <w:tblLook w:val="04A0" w:firstRow="1" w:lastRow="0" w:firstColumn="1" w:lastColumn="0" w:noHBand="0" w:noVBand="1"/>
      </w:tblPr>
      <w:tblGrid>
        <w:gridCol w:w="5737"/>
        <w:gridCol w:w="1721"/>
        <w:gridCol w:w="1721"/>
        <w:gridCol w:w="1721"/>
        <w:gridCol w:w="1721"/>
        <w:gridCol w:w="1721"/>
      </w:tblGrid>
      <w:tr w:rsidR="00000000" w14:paraId="1E4835FF" w14:textId="77777777" w:rsidTr="009B7B92">
        <w:tc>
          <w:tcPr>
            <w:tcW w:w="2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06D6DEC" w14:textId="77777777" w:rsidR="009B7B92" w:rsidRDefault="009B7B92">
            <w:pPr>
              <w:rPr>
                <w:rFonts w:ascii="Calibri" w:eastAsia="Times New Roman" w:hAnsi="Calibri" w:cs="Calibri"/>
              </w:rPr>
            </w:pP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11EC171"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2015</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3EFC333"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2019</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0204962"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2021</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1ABDD83"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2023</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95DCB2B"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2025</w:t>
            </w:r>
          </w:p>
        </w:tc>
      </w:tr>
      <w:tr w:rsidR="00000000" w14:paraId="0CA9C748"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4C376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 Quien ya alquila: lo que pesa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F6340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35A5B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88,7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231C6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97,8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0624E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77,4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C2079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71,4</w:t>
            </w:r>
          </w:p>
        </w:tc>
      </w:tr>
      <w:tr w:rsidR="00000000" w14:paraId="6ECC6685"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4EDB3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II. Quien no entra, o entra compartiendo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3CA07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E442F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120,8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E9690E"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121,9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6FEC7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135,0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CF7BC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155,9</w:t>
            </w:r>
          </w:p>
        </w:tc>
      </w:tr>
      <w:tr w:rsidR="00000000" w14:paraId="589CD491"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85E57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III. Hogares frágiles: mayores pobres, personas solas, monoparentales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BFF3E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FC7BD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81,4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27FDA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3A2CD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95,4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D6C05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90,3</w:t>
            </w:r>
          </w:p>
        </w:tc>
      </w:tr>
      <w:tr w:rsidR="00000000" w14:paraId="333EC312"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93A32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Índice de sostenibilidad social</w:t>
            </w:r>
            <w:r>
              <w:rPr>
                <w:rFonts w:ascii="Calibri" w:eastAsia="Times New Roman" w:hAnsi="Calibri" w:cs="Calibri"/>
                <w:color w:val="1F2933"/>
                <w:sz w:val="18"/>
                <w:szCs w:val="18"/>
              </w:rPr>
              <w:t xml:space="preserve"> (media de los tres)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E6FF4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DB7CF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97,0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56D2F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107,6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E864DC"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7233EC"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105,9</w:t>
            </w:r>
          </w:p>
        </w:tc>
      </w:tr>
    </w:tbl>
    <w:p w14:paraId="09CE5751" w14:textId="77777777" w:rsidR="009B7B92" w:rsidRDefault="009B7B92">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El índice conjunto apenas se mueve, y eso es engañoso.</w:t>
      </w:r>
      <w:r>
        <w:rPr>
          <w:rFonts w:ascii="Calibri" w:eastAsia="Times New Roman" w:hAnsi="Calibri" w:cs="Calibri"/>
          <w:color w:val="1F2933"/>
          <w:sz w:val="21"/>
          <w:szCs w:val="21"/>
        </w:rPr>
        <w:t xml:space="preserve"> Está en 105,9 en 2025, casi como en 2015. Debajo hay dos movimientos opuestos y grandes.</w:t>
      </w:r>
    </w:p>
    <w:p w14:paraId="4BF886BB" w14:textId="77777777" w:rsidR="009B7B92" w:rsidRDefault="009B7B92">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Para quien ya alquila, el peso del alquiler ha bajado mucho</w:t>
      </w:r>
      <w:r>
        <w:rPr>
          <w:rFonts w:ascii="Calibri" w:eastAsia="Times New Roman" w:hAnsi="Calibri" w:cs="Calibri"/>
          <w:color w:val="1F2933"/>
          <w:sz w:val="21"/>
          <w:szCs w:val="21"/>
        </w:rPr>
        <w:t>: el subíndice I está en 71,4. Las rentas más bajas han subido más que los alquileres de los contratos vivos.</w:t>
      </w:r>
    </w:p>
    <w:p w14:paraId="185598A4" w14:textId="77777777" w:rsidR="009B7B92" w:rsidRDefault="009B7B92">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Para quien no entra, o entra compartiendo, el daño ha crecido más de la mitad</w:t>
      </w:r>
      <w:r>
        <w:rPr>
          <w:rFonts w:ascii="Calibri" w:eastAsia="Times New Roman" w:hAnsi="Calibri" w:cs="Calibri"/>
          <w:color w:val="1F2933"/>
          <w:sz w:val="21"/>
          <w:szCs w:val="21"/>
        </w:rPr>
        <w:t>: el subíndice II está en 155,9. Los inquilinos en viviendas sobreocupadas pasan del 11,7 % al 20,5 %, y los jóvenes de 18 a 34 años que viven con sus padres, del 58,0 % al 68,7 %.</w:t>
      </w:r>
    </w:p>
    <w:p w14:paraId="26CD83DA" w14:textId="77777777" w:rsidR="009B7B92" w:rsidRDefault="009B7B92">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Los hogares frágiles mejoran algo en conjunto</w:t>
      </w:r>
      <w:r>
        <w:rPr>
          <w:rFonts w:ascii="Calibri" w:eastAsia="Times New Roman" w:hAnsi="Calibri" w:cs="Calibri"/>
          <w:color w:val="1F2933"/>
          <w:sz w:val="21"/>
          <w:szCs w:val="21"/>
        </w:rPr>
        <w:t xml:space="preserve"> (90,3), pero con una excepción: entre los mayores de 65 pobres la sobrecarga sube del 19,7 % al 23,2 %.</w:t>
      </w:r>
    </w:p>
    <w:p w14:paraId="3548057B" w14:textId="77777777" w:rsidR="009B7B92" w:rsidRDefault="009B7B92">
      <w:pPr>
        <w:shd w:val="clear" w:color="auto" w:fill="FEF5E7"/>
        <w:divId w:val="161900498"/>
        <w:rPr>
          <w:rFonts w:ascii="Calibri" w:eastAsia="Times New Roman" w:hAnsi="Calibri" w:cs="Calibri"/>
          <w:color w:val="1F2933"/>
          <w:sz w:val="21"/>
          <w:szCs w:val="21"/>
        </w:rPr>
      </w:pPr>
      <w:r>
        <w:rPr>
          <w:rFonts w:ascii="Calibri" w:eastAsia="Times New Roman" w:hAnsi="Calibri" w:cs="Calibri"/>
          <w:b/>
          <w:bCs/>
          <w:color w:val="1F2933"/>
          <w:sz w:val="21"/>
          <w:szCs w:val="21"/>
        </w:rPr>
        <w:t>La lectura honesta no es el número único, sino los tres.</w:t>
      </w:r>
      <w:r>
        <w:rPr>
          <w:rFonts w:ascii="Calibri" w:eastAsia="Times New Roman" w:hAnsi="Calibri" w:cs="Calibri"/>
          <w:color w:val="1F2933"/>
          <w:sz w:val="21"/>
          <w:szCs w:val="21"/>
        </w:rPr>
        <w:t xml:space="preserve"> El daño no ha desaparecido: se ha desplazado de «pagar demasiado» a «no poder entrar» y «vivir apretado». Un indicador que solo mire el esfuerzo de quien ya alquila dirá que el problema mejora; uno que mire la emancipación y la sobreocupación dirá que empeora. Los dos tienen razón sobre lo que miden.</w:t>
      </w:r>
    </w:p>
    <w:p w14:paraId="27071DDF" w14:textId="77777777" w:rsidR="009B7B92" w:rsidRDefault="009B7B92">
      <w:pPr>
        <w:pStyle w:val="Ttulo2"/>
        <w:rPr>
          <w:rFonts w:ascii="Calibri" w:eastAsia="Times New Roman" w:hAnsi="Calibri" w:cs="Calibri"/>
        </w:rPr>
      </w:pPr>
      <w:r>
        <w:rPr>
          <w:rFonts w:ascii="Calibri" w:eastAsia="Times New Roman" w:hAnsi="Calibri" w:cs="Calibri"/>
        </w:rPr>
        <w:t>2. Los nueve componentes</w:t>
      </w:r>
    </w:p>
    <w:p w14:paraId="5711B3D9" w14:textId="77777777" w:rsidR="009B7B92" w:rsidRDefault="009B7B92">
      <w:pPr>
        <w:pStyle w:val="NormalWeb"/>
        <w:rPr>
          <w:rFonts w:ascii="Calibri" w:hAnsi="Calibri" w:cs="Calibri"/>
          <w:color w:val="1F2933"/>
          <w:sz w:val="21"/>
          <w:szCs w:val="21"/>
        </w:rPr>
      </w:pPr>
      <w:r>
        <w:rPr>
          <w:rFonts w:ascii="Calibri" w:hAnsi="Calibri" w:cs="Calibri"/>
          <w:color w:val="1F2933"/>
          <w:sz w:val="21"/>
          <w:szCs w:val="21"/>
        </w:rPr>
        <w:t>Cada componente es un porcentaje publicado por Eurostat con datos de la encuesta de condiciones de vida. La última columna lo expresa como índice: 100 es el valor de 2015.</w:t>
      </w:r>
    </w:p>
    <w:tbl>
      <w:tblPr>
        <w:tblW w:w="5000" w:type="pct"/>
        <w:tblCellMar>
          <w:top w:w="15" w:type="dxa"/>
          <w:left w:w="15" w:type="dxa"/>
          <w:bottom w:w="15" w:type="dxa"/>
          <w:right w:w="15" w:type="dxa"/>
        </w:tblCellMar>
        <w:tblLook w:val="04A0" w:firstRow="1" w:lastRow="0" w:firstColumn="1" w:lastColumn="0" w:noHBand="0" w:noVBand="1"/>
      </w:tblPr>
      <w:tblGrid>
        <w:gridCol w:w="2437"/>
        <w:gridCol w:w="3872"/>
        <w:gridCol w:w="1864"/>
        <w:gridCol w:w="861"/>
        <w:gridCol w:w="861"/>
        <w:gridCol w:w="861"/>
        <w:gridCol w:w="861"/>
        <w:gridCol w:w="861"/>
        <w:gridCol w:w="1864"/>
      </w:tblGrid>
      <w:tr w:rsidR="00000000" w14:paraId="495AAD45" w14:textId="77777777" w:rsidTr="009B7B92">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D2D82BE"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Subíndice</w:t>
            </w:r>
          </w:p>
        </w:tc>
        <w:tc>
          <w:tcPr>
            <w:tcW w:w="1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5FD96FB"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Componente</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C95DA7F"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BEC26A1"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2015</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D92EF4B"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2019</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8F2CD03"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2021</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5AFD1D8"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2023</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51218B9"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2025</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24B2F18"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Índice 2025 (2015 = 100)</w:t>
            </w:r>
          </w:p>
        </w:tc>
      </w:tr>
      <w:tr w:rsidR="00000000" w14:paraId="594AB720"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B60C2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lastRenderedPageBreak/>
              <w:t>I. Quien ya alquila: lo que pesa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FD171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Inquilinos de mercado que gastan más del 40 % de su renta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6B04C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ilc_lvho07c</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A2133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C805A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37,4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8E942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D582B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04805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26,8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BB9B8A"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61,9</w:t>
            </w:r>
          </w:p>
        </w:tc>
      </w:tr>
      <w:tr w:rsidR="00000000" w14:paraId="140FFE10"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603718" w14:textId="77777777" w:rsidR="009B7B92" w:rsidRDefault="009B7B92">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2E5FD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de la quinta parte más pobre con sobrecarga de gasto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1FD04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ilc_lvho07b</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86732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FCC27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BC14A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38,4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71664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6E2F6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27,7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1E3CD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67,7</w:t>
            </w:r>
          </w:p>
        </w:tc>
      </w:tr>
      <w:tr w:rsidR="00000000" w14:paraId="54982ABE"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926103" w14:textId="77777777" w:rsidR="009B7B92" w:rsidRDefault="009B7B92">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A0889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Alquiler sobre renta disponible de los inquilinos pobres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A4837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ilc_mded02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541CB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DE399A"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45,7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54875C"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47,9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D9BA0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C25DB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38,6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91C75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84,6</w:t>
            </w:r>
          </w:p>
        </w:tc>
      </w:tr>
      <w:tr w:rsidR="00000000" w14:paraId="04609520"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AC9D5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II. Quien no entra, o entra compartiendo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1C855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Inquilinos de mercado en vivienda sobreocupada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34551E"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ilc_lvho05c</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B212B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843CB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19EA3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15,4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3BCAA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17,5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DA2DD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1CEA9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175,2</w:t>
            </w:r>
          </w:p>
        </w:tc>
      </w:tr>
      <w:tr w:rsidR="00000000" w14:paraId="6B1C8E5B"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45A02E" w14:textId="77777777" w:rsidR="009B7B92" w:rsidRDefault="009B7B92">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1EB6FC"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Jóvenes de 18 a 34 años que viven con sus padres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5EDD2E"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ilc_lvps08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57FC7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7D110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64,5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035BC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64,5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E42B6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62911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68,7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643A4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118,4</w:t>
            </w:r>
          </w:p>
        </w:tc>
      </w:tr>
      <w:tr w:rsidR="00000000" w14:paraId="426813F8"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8E2DB9" w14:textId="77777777" w:rsidR="009B7B92" w:rsidRDefault="009B7B92">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7CE50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Jóvenes de 16 a 29 años en vivienda sobreocupada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6A263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ilc_lvho05a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47DC9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E5C4C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BACF4E"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AFE01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34BCC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3A0F4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173,9</w:t>
            </w:r>
          </w:p>
        </w:tc>
      </w:tr>
      <w:tr w:rsidR="00000000" w14:paraId="6E9A97EF"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D2E56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III. Hogares frágiles: mayores pobres, personas solas, monoparentales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B6EE1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Mayores de 65 pobres con sobrecarga de gasto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D7D99F"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ilc_lvho07a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C45B4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19,7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EE038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09A13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799E2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24,4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B537B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26BFD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117,8</w:t>
            </w:r>
          </w:p>
        </w:tc>
      </w:tr>
      <w:tr w:rsidR="00000000" w14:paraId="5FB73BC2"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C39D31" w14:textId="77777777" w:rsidR="009B7B92" w:rsidRDefault="009B7B92">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7233E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menores de 65 que viven solas, con sobrecarga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3DC2E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ilc_lvho07e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6A717A"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28,5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904E8E"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22736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B1294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88745C"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24,4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E4CDC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85,6</w:t>
            </w:r>
          </w:p>
        </w:tc>
      </w:tr>
      <w:tr w:rsidR="00000000" w14:paraId="0FC3CBA4"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7C73F8" w14:textId="77777777" w:rsidR="009B7B92" w:rsidRDefault="009B7B92">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79B98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Familias monoparentales con sobrecarga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D0227F"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ilc_lvho07e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C85EE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ED3B3A"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05F73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29,3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E9B5F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F6E5C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D8DDD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67,6</w:t>
            </w:r>
          </w:p>
        </w:tc>
      </w:tr>
    </w:tbl>
    <w:p w14:paraId="65680527" w14:textId="77777777" w:rsidR="009B7B92" w:rsidRDefault="009B7B92">
      <w:pPr>
        <w:pStyle w:val="Ttulo2"/>
        <w:rPr>
          <w:rFonts w:ascii="Calibri" w:eastAsia="Times New Roman" w:hAnsi="Calibri" w:cs="Calibri"/>
        </w:rPr>
      </w:pPr>
      <w:r>
        <w:rPr>
          <w:rFonts w:ascii="Calibri" w:eastAsia="Times New Roman" w:hAnsi="Calibri" w:cs="Calibri"/>
        </w:rPr>
        <w:t>3. Los pesos, simulados</w:t>
      </w:r>
    </w:p>
    <w:p w14:paraId="629A9A4F" w14:textId="77777777" w:rsidR="009B7B92" w:rsidRDefault="009B7B92">
      <w:pPr>
        <w:pStyle w:val="NormalWeb"/>
        <w:rPr>
          <w:rFonts w:ascii="Calibri" w:hAnsi="Calibri" w:cs="Calibri"/>
          <w:color w:val="1F2933"/>
          <w:sz w:val="21"/>
          <w:szCs w:val="21"/>
        </w:rPr>
      </w:pPr>
      <w:r>
        <w:rPr>
          <w:rFonts w:ascii="Calibri" w:hAnsi="Calibri" w:cs="Calibri"/>
          <w:color w:val="1F2933"/>
          <w:sz w:val="21"/>
          <w:szCs w:val="21"/>
        </w:rPr>
        <w:t>Un índice compuesto lleva dentro una decisión: cuánto vale cada parte. En lugar de fijarla, se prueban tres maneras de ponderar.</w:t>
      </w:r>
    </w:p>
    <w:p w14:paraId="601EAD2D" w14:textId="77777777" w:rsidR="009B7B92" w:rsidRDefault="009B7B92">
      <w:pPr>
        <w:pStyle w:val="Ttulo3"/>
        <w:rPr>
          <w:rFonts w:ascii="Calibri" w:eastAsia="Times New Roman" w:hAnsi="Calibri" w:cs="Calibri"/>
        </w:rPr>
      </w:pPr>
      <w:r>
        <w:rPr>
          <w:rFonts w:ascii="Calibri" w:eastAsia="Times New Roman" w:hAnsi="Calibri" w:cs="Calibri"/>
        </w:rPr>
        <w:t>Todas las ponderaciones posibles</w:t>
      </w:r>
    </w:p>
    <w:p w14:paraId="13E68772" w14:textId="77777777" w:rsidR="009B7B92" w:rsidRDefault="009B7B92">
      <w:pPr>
        <w:pStyle w:val="NormalWeb"/>
        <w:rPr>
          <w:rFonts w:ascii="Calibri" w:hAnsi="Calibri" w:cs="Calibri"/>
          <w:color w:val="1F2933"/>
          <w:sz w:val="21"/>
          <w:szCs w:val="21"/>
        </w:rPr>
      </w:pPr>
      <w:r>
        <w:rPr>
          <w:rFonts w:ascii="Calibri" w:hAnsi="Calibri" w:cs="Calibri"/>
          <w:color w:val="1F2933"/>
          <w:sz w:val="21"/>
          <w:szCs w:val="21"/>
        </w:rPr>
        <w:t>Se calcula el índice de 2025 con las 231 combinaciones de pesos que resultan de repartir el 100 % entre los tres subíndices de cinco en cinco puntos.</w:t>
      </w:r>
    </w:p>
    <w:tbl>
      <w:tblPr>
        <w:tblW w:w="5000" w:type="pct"/>
        <w:tblCellMar>
          <w:top w:w="15" w:type="dxa"/>
          <w:left w:w="15" w:type="dxa"/>
          <w:bottom w:w="15" w:type="dxa"/>
          <w:right w:w="15" w:type="dxa"/>
        </w:tblCellMar>
        <w:tblLook w:val="04A0" w:firstRow="1" w:lastRow="0" w:firstColumn="1" w:lastColumn="0" w:noHBand="0" w:noVBand="1"/>
      </w:tblPr>
      <w:tblGrid>
        <w:gridCol w:w="7170"/>
        <w:gridCol w:w="3586"/>
        <w:gridCol w:w="3586"/>
      </w:tblGrid>
      <w:tr w:rsidR="00000000" w14:paraId="059AE37B" w14:textId="77777777" w:rsidTr="009B7B92">
        <w:tc>
          <w:tcPr>
            <w:tcW w:w="2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DE6C9B4"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 del índice en 2025</w:t>
            </w: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9D4B516"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Ponderaciones</w:t>
            </w: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033FDC3"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Parte del total</w:t>
            </w:r>
          </w:p>
        </w:tc>
      </w:tr>
      <w:tr w:rsidR="00000000" w14:paraId="4EEF0D91"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159DA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t xml:space="preserve"> (más de 105)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4E03CF"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F4E48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46,8 %</w:t>
            </w:r>
          </w:p>
        </w:tc>
      </w:tr>
      <w:tr w:rsidR="00000000" w14:paraId="0D25EC29"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E8524F"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Parecido</w:t>
            </w:r>
            <w:r>
              <w:rPr>
                <w:rFonts w:ascii="Calibri" w:eastAsia="Times New Roman" w:hAnsi="Calibri" w:cs="Calibri"/>
                <w:color w:val="1F2933"/>
                <w:sz w:val="18"/>
                <w:szCs w:val="18"/>
              </w:rPr>
              <w:t xml:space="preserve"> (entre 95 y 105)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AA8A5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8A568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18,2 %</w:t>
            </w:r>
          </w:p>
        </w:tc>
      </w:tr>
      <w:tr w:rsidR="00000000" w14:paraId="45D59751"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E18B1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lastRenderedPageBreak/>
              <w:t>Mejora</w:t>
            </w:r>
            <w:r>
              <w:rPr>
                <w:rFonts w:ascii="Calibri" w:eastAsia="Times New Roman" w:hAnsi="Calibri" w:cs="Calibri"/>
                <w:color w:val="1F2933"/>
                <w:sz w:val="18"/>
                <w:szCs w:val="18"/>
              </w:rPr>
              <w:t xml:space="preserve"> (menos de 95)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A1623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41E40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35,1 %</w:t>
            </w:r>
          </w:p>
        </w:tc>
      </w:tr>
      <w:tr w:rsidR="00000000" w14:paraId="31052E04"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1ACFC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Total de ponderaciones probadas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A2A8F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231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39D09E"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100,0 %</w:t>
            </w:r>
          </w:p>
        </w:tc>
      </w:tr>
    </w:tbl>
    <w:p w14:paraId="2EC32985" w14:textId="77777777" w:rsidR="009B7B92" w:rsidRDefault="009B7B92">
      <w:pPr>
        <w:rPr>
          <w:rFonts w:ascii="Calibri" w:eastAsia="Times New Roman" w:hAnsi="Calibri" w:cs="Calibri"/>
          <w:vanish/>
          <w:color w:val="1F2933"/>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5736"/>
        <w:gridCol w:w="5020"/>
        <w:gridCol w:w="3586"/>
      </w:tblGrid>
      <w:tr w:rsidR="00000000" w14:paraId="3E08B809" w14:textId="77777777" w:rsidTr="009B7B92">
        <w:tc>
          <w:tcPr>
            <w:tcW w:w="2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01C9389" w14:textId="77777777" w:rsidR="009B7B92" w:rsidRDefault="009B7B92">
            <w:pPr>
              <w:rPr>
                <w:rFonts w:ascii="Calibri" w:eastAsia="Times New Roman" w:hAnsi="Calibri" w:cs="Calibri"/>
                <w:color w:val="1F2933"/>
                <w:sz w:val="21"/>
                <w:szCs w:val="21"/>
              </w:rPr>
            </w:pPr>
          </w:p>
        </w:tc>
        <w:tc>
          <w:tcPr>
            <w:tcW w:w="1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354956F"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Pesos (I · II · III)</w:t>
            </w: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EF592AC"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Índice 2025</w:t>
            </w:r>
          </w:p>
        </w:tc>
      </w:tr>
      <w:tr w:rsidR="00000000" w14:paraId="3AC8B610"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890C2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Valor más bajo posible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A4410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100 % · 0 % · 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5FBC5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71,4</w:t>
            </w:r>
          </w:p>
        </w:tc>
      </w:tr>
      <w:tr w:rsidR="00000000" w14:paraId="79645732"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FD4BA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Valor más alto posible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4CC06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 100 % · 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7D1A3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155,9</w:t>
            </w:r>
          </w:p>
        </w:tc>
      </w:tr>
    </w:tbl>
    <w:p w14:paraId="19720C7B" w14:textId="77777777" w:rsidR="009B7B92" w:rsidRDefault="009B7B92">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No hay una respuesta única.</w:t>
      </w:r>
      <w:r>
        <w:rPr>
          <w:rFonts w:ascii="Calibri" w:eastAsia="Times New Roman" w:hAnsi="Calibri" w:cs="Calibri"/>
          <w:color w:val="1F2933"/>
          <w:sz w:val="21"/>
          <w:szCs w:val="21"/>
        </w:rPr>
        <w:t xml:space="preserve"> El índice empeora en el 46,8 % de las ponderaciones, mejora en el 35,1 % y queda parecido en el resto. Puede valer desde 71,4 hasta 155,9.</w:t>
      </w:r>
    </w:p>
    <w:p w14:paraId="47559324" w14:textId="77777777" w:rsidR="009B7B92" w:rsidRDefault="009B7B92">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La pregunta que decide es cuánto importa quien no puede entrar.</w:t>
      </w:r>
      <w:r>
        <w:rPr>
          <w:rFonts w:ascii="Calibri" w:eastAsia="Times New Roman" w:hAnsi="Calibri" w:cs="Calibri"/>
          <w:color w:val="1F2933"/>
          <w:sz w:val="21"/>
          <w:szCs w:val="21"/>
        </w:rPr>
        <w:t xml:space="preserve"> Repartiendo el resto a partes iguales, basta con darle un 26 % del peso para que el conjunto quede por encima de 2015.</w:t>
      </w:r>
    </w:p>
    <w:p w14:paraId="38FA985B" w14:textId="77777777" w:rsidR="009B7B92" w:rsidRDefault="009B7B92">
      <w:pPr>
        <w:pStyle w:val="Ttulo3"/>
        <w:rPr>
          <w:rFonts w:ascii="Calibri" w:eastAsia="Times New Roman" w:hAnsi="Calibri" w:cs="Calibri"/>
        </w:rPr>
      </w:pPr>
      <w:r>
        <w:rPr>
          <w:rFonts w:ascii="Calibri" w:eastAsia="Times New Roman" w:hAnsi="Calibri" w:cs="Calibri"/>
        </w:rPr>
        <w:t>Pesos según las personas a las que describe cada parte</w:t>
      </w:r>
    </w:p>
    <w:tbl>
      <w:tblPr>
        <w:tblW w:w="5000" w:type="pct"/>
        <w:tblCellMar>
          <w:top w:w="15" w:type="dxa"/>
          <w:left w:w="15" w:type="dxa"/>
          <w:bottom w:w="15" w:type="dxa"/>
          <w:right w:w="15" w:type="dxa"/>
        </w:tblCellMar>
        <w:tblLook w:val="04A0" w:firstRow="1" w:lastRow="0" w:firstColumn="1" w:lastColumn="0" w:noHBand="0" w:noVBand="1"/>
      </w:tblPr>
      <w:tblGrid>
        <w:gridCol w:w="4302"/>
        <w:gridCol w:w="2295"/>
        <w:gridCol w:w="6024"/>
        <w:gridCol w:w="1721"/>
      </w:tblGrid>
      <w:tr w:rsidR="00000000" w14:paraId="716611A5" w14:textId="77777777" w:rsidTr="009B7B92">
        <w:tc>
          <w:tcPr>
            <w:tcW w:w="1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0B3B175"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Subíndice</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8AB732E"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Personas a las que describe</w:t>
            </w:r>
          </w:p>
        </w:tc>
        <w:tc>
          <w:tcPr>
            <w:tcW w:w="2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46E5C7E"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Cómo se obtiene</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8DF1645"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Peso resultante</w:t>
            </w:r>
          </w:p>
        </w:tc>
      </w:tr>
      <w:tr w:rsidR="00000000" w14:paraId="6D0744CF"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BFCE7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 Quien ya alquila: lo que pesa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6022C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8.548.324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227EF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49.128.297 habitantes × 17,4 % en alquiler de mercado (Eurostat,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6D815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51,5 %</w:t>
            </w:r>
          </w:p>
        </w:tc>
      </w:tr>
      <w:tr w:rsidR="00000000" w14:paraId="252AC27D"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E7BC8C"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II. Quien no entra, o entra compartiendo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3930BC"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6.420.477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0F690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9.345.672 personas de 18 a 34 años × 68,7 % que viven con sus padres (Eurostat, 2025). Es un máximo.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3CE50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38,7 %</w:t>
            </w:r>
          </w:p>
        </w:tc>
      </w:tr>
      <w:tr w:rsidR="00000000" w14:paraId="2F40F841"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740EF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III. Hogares frágiles: mayores pobres, personas solas, monoparentales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6E5C7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1.621.234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DD1EB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49.128.297 habitantes × 3,3 % en hogares monoparentales (Eurostat, 2025). Es un mínimo: faltan los mayores pobres y las personas solas, sin cifra localizada.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F006C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9,8 %</w:t>
            </w:r>
          </w:p>
        </w:tc>
      </w:tr>
    </w:tbl>
    <w:p w14:paraId="6A80A808" w14:textId="77777777" w:rsidR="009B7B92" w:rsidRDefault="009B7B92">
      <w:pPr>
        <w:rPr>
          <w:rFonts w:ascii="Calibri" w:eastAsia="Times New Roman" w:hAnsi="Calibri" w:cs="Calibri"/>
          <w:vanish/>
          <w:color w:val="1F2933"/>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5737"/>
        <w:gridCol w:w="1721"/>
        <w:gridCol w:w="1721"/>
        <w:gridCol w:w="1721"/>
        <w:gridCol w:w="1721"/>
        <w:gridCol w:w="1721"/>
      </w:tblGrid>
      <w:tr w:rsidR="00000000" w14:paraId="16DFCEBD" w14:textId="77777777" w:rsidTr="009B7B92">
        <w:tc>
          <w:tcPr>
            <w:tcW w:w="2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4BB339D" w14:textId="77777777" w:rsidR="009B7B92" w:rsidRDefault="009B7B92">
            <w:pPr>
              <w:rPr>
                <w:rFonts w:ascii="Calibri" w:eastAsia="Times New Roman" w:hAnsi="Calibri" w:cs="Calibri"/>
                <w:color w:val="1F2933"/>
                <w:sz w:val="21"/>
                <w:szCs w:val="21"/>
              </w:rPr>
            </w:pP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CB7FFC6"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2015</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9DC44CB"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2019</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247EEF2"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2021</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CA69388"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2023</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D76852D"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2025</w:t>
            </w:r>
          </w:p>
        </w:tc>
      </w:tr>
      <w:tr w:rsidR="00000000" w14:paraId="1DF8BC6F"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0AF5C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Índice con pesos según personas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83102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0FB1F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2B05B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107,6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86B45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C1417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105,9</w:t>
            </w:r>
          </w:p>
        </w:tc>
      </w:tr>
    </w:tbl>
    <w:p w14:paraId="6A61B847" w14:textId="77777777" w:rsidR="009B7B92" w:rsidRDefault="009B7B92">
      <w:pPr>
        <w:pStyle w:val="NormalWeb"/>
        <w:rPr>
          <w:rFonts w:ascii="Calibri" w:hAnsi="Calibri" w:cs="Calibri"/>
          <w:color w:val="1F2933"/>
          <w:sz w:val="21"/>
          <w:szCs w:val="21"/>
        </w:rPr>
      </w:pPr>
      <w:r>
        <w:rPr>
          <w:rFonts w:ascii="Calibri" w:hAnsi="Calibri" w:cs="Calibri"/>
          <w:color w:val="1F2933"/>
          <w:sz w:val="21"/>
          <w:szCs w:val="21"/>
        </w:rPr>
        <w:t>Con este criterio el índice de 2025 es 105,9: empeora respecto a 2015. El tercer peso está infravalorado, porque de los hogares frágiles solo se sabe cuántas personas viven en familias monoparentales.</w:t>
      </w:r>
    </w:p>
    <w:p w14:paraId="41E76059" w14:textId="77777777" w:rsidR="009B7B92" w:rsidRDefault="009B7B92">
      <w:pPr>
        <w:pStyle w:val="Ttulo3"/>
        <w:rPr>
          <w:rFonts w:ascii="Calibri" w:eastAsia="Times New Roman" w:hAnsi="Calibri" w:cs="Calibri"/>
        </w:rPr>
      </w:pPr>
      <w:r>
        <w:rPr>
          <w:rFonts w:ascii="Calibri" w:eastAsia="Times New Roman" w:hAnsi="Calibri" w:cs="Calibri"/>
        </w:rPr>
        <w:t>Cuatro ponderaciones fijas, para comparar</w:t>
      </w:r>
    </w:p>
    <w:tbl>
      <w:tblPr>
        <w:tblW w:w="5000" w:type="pct"/>
        <w:tblCellMar>
          <w:top w:w="15" w:type="dxa"/>
          <w:left w:w="15" w:type="dxa"/>
          <w:bottom w:w="15" w:type="dxa"/>
          <w:right w:w="15" w:type="dxa"/>
        </w:tblCellMar>
        <w:tblLook w:val="04A0" w:firstRow="1" w:lastRow="0" w:firstColumn="1" w:lastColumn="0" w:noHBand="0" w:noVBand="1"/>
      </w:tblPr>
      <w:tblGrid>
        <w:gridCol w:w="4017"/>
        <w:gridCol w:w="3155"/>
        <w:gridCol w:w="1434"/>
        <w:gridCol w:w="1434"/>
        <w:gridCol w:w="1434"/>
        <w:gridCol w:w="1434"/>
        <w:gridCol w:w="1434"/>
      </w:tblGrid>
      <w:tr w:rsidR="00000000" w14:paraId="0FFEAC66" w14:textId="77777777" w:rsidTr="009B7B92">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4680707"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Ponderación</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5E28970"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Pesos (I · II · III)</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EBF44C2"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2015</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ABDB3B8"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2019</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AA4939B"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2021</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6BF5B27"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2023</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618C9B3"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2025</w:t>
            </w:r>
          </w:p>
        </w:tc>
      </w:tr>
      <w:tr w:rsidR="00000000" w14:paraId="28FC69CD"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288CC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Igual peso a los tres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ACE82A"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33 % · 33 % · 33 %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53462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B66D0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97,0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80935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107,6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A1FBA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3FF73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105,9</w:t>
            </w:r>
          </w:p>
        </w:tc>
      </w:tr>
      <w:tr w:rsidR="00000000" w14:paraId="311AED9A"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73AF5E"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Más peso a quien ya alquila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1B977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50 % · 25 % · 25 %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8DB24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FD1AAC"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94,9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F4FA0C"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105,2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2975B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96,3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96327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97,3</w:t>
            </w:r>
          </w:p>
        </w:tc>
      </w:tr>
      <w:tr w:rsidR="00000000" w14:paraId="66711A25"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19F5C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Más peso a quien no entra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F69C0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25 % · 50 % · 25 %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CD609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FF275E"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9628E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111,2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ACD59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110,7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8B560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118,4</w:t>
            </w:r>
          </w:p>
        </w:tc>
      </w:tr>
      <w:tr w:rsidR="00000000" w14:paraId="6EA64BDB"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04ED2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Más peso a los hogares frágiles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0B111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25 % · 25 % · 50 %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9A847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D92B3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93,1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5BB03A"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106,5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84735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49BB6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52606D"/>
                <w:sz w:val="18"/>
                <w:szCs w:val="18"/>
              </w:rPr>
              <w:t>102,0</w:t>
            </w:r>
          </w:p>
        </w:tc>
      </w:tr>
    </w:tbl>
    <w:p w14:paraId="7CB905AB" w14:textId="77777777" w:rsidR="009B7B92" w:rsidRDefault="009B7B92">
      <w:pPr>
        <w:shd w:val="clear" w:color="auto" w:fill="FEF5E7"/>
        <w:spacing w:after="180"/>
        <w:divId w:val="1853103199"/>
        <w:rPr>
          <w:rFonts w:ascii="Calibri" w:eastAsia="Times New Roman" w:hAnsi="Calibri" w:cs="Calibri"/>
          <w:color w:val="1F2933"/>
          <w:sz w:val="21"/>
          <w:szCs w:val="21"/>
        </w:rPr>
      </w:pPr>
      <w:r>
        <w:rPr>
          <w:rFonts w:ascii="Calibri" w:eastAsia="Times New Roman" w:hAnsi="Calibri" w:cs="Calibri"/>
          <w:b/>
          <w:bCs/>
          <w:color w:val="1F2933"/>
          <w:sz w:val="21"/>
          <w:szCs w:val="21"/>
        </w:rPr>
        <w:t>Qué se puede afirmar con seguridad.</w:t>
      </w:r>
      <w:r>
        <w:rPr>
          <w:rFonts w:ascii="Calibri" w:eastAsia="Times New Roman" w:hAnsi="Calibri" w:cs="Calibri"/>
          <w:color w:val="1F2933"/>
          <w:sz w:val="21"/>
          <w:szCs w:val="21"/>
        </w:rPr>
        <w:t xml:space="preserve"> </w:t>
      </w:r>
      <w:r>
        <w:rPr>
          <w:rFonts w:ascii="Calibri" w:eastAsia="Times New Roman" w:hAnsi="Calibri" w:cs="Calibri"/>
          <w:color w:val="1F2933"/>
          <w:sz w:val="21"/>
          <w:szCs w:val="21"/>
        </w:rPr>
        <w:t>Con cualquier ponderación, dos cosas son ciertas a la vez: para quien ya alquila el peso del alquiler ha bajado, y para quien no entra o comparte el daño ha crecido. Que «en conjunto» la situación sea mejor o peor no lo decide el dato, sino a quién se mira.</w:t>
      </w:r>
    </w:p>
    <w:p w14:paraId="611B6DBA" w14:textId="77777777" w:rsidR="009B7B92" w:rsidRDefault="009B7B92">
      <w:pPr>
        <w:pStyle w:val="Ttulo2"/>
        <w:rPr>
          <w:rFonts w:ascii="Calibri" w:eastAsia="Times New Roman" w:hAnsi="Calibri" w:cs="Calibri"/>
        </w:rPr>
      </w:pPr>
      <w:r>
        <w:rPr>
          <w:rFonts w:ascii="Calibri" w:eastAsia="Times New Roman" w:hAnsi="Calibri" w:cs="Calibri"/>
        </w:rPr>
        <w:t>3 bis. Por edades</w:t>
      </w:r>
    </w:p>
    <w:p w14:paraId="744D551B" w14:textId="77777777" w:rsidR="009B7B92" w:rsidRDefault="009B7B92">
      <w:pPr>
        <w:pStyle w:val="NormalWeb"/>
        <w:rPr>
          <w:rFonts w:ascii="Calibri" w:hAnsi="Calibri" w:cs="Calibri"/>
          <w:color w:val="1F2933"/>
          <w:sz w:val="21"/>
          <w:szCs w:val="21"/>
        </w:rPr>
      </w:pPr>
      <w:r>
        <w:rPr>
          <w:rFonts w:ascii="Calibri" w:hAnsi="Calibri" w:cs="Calibri"/>
          <w:color w:val="1F2933"/>
          <w:sz w:val="21"/>
          <w:szCs w:val="21"/>
        </w:rPr>
        <w:t>La edad ordena casi todo. Quien tiene más de 65 años es propietario en nueve de cada diez casos; quien tiene menos de 45 ha pasado en una generación de comprar a alquilar.</w:t>
      </w:r>
    </w:p>
    <w:tbl>
      <w:tblPr>
        <w:tblW w:w="5000" w:type="pct"/>
        <w:tblCellMar>
          <w:top w:w="15" w:type="dxa"/>
          <w:left w:w="15" w:type="dxa"/>
          <w:bottom w:w="15" w:type="dxa"/>
          <w:right w:w="15" w:type="dxa"/>
        </w:tblCellMar>
        <w:tblLook w:val="04A0" w:firstRow="1" w:lastRow="0" w:firstColumn="1" w:lastColumn="0" w:noHBand="0" w:noVBand="1"/>
      </w:tblPr>
      <w:tblGrid>
        <w:gridCol w:w="1721"/>
        <w:gridCol w:w="2295"/>
        <w:gridCol w:w="1721"/>
        <w:gridCol w:w="1721"/>
        <w:gridCol w:w="1721"/>
        <w:gridCol w:w="1721"/>
        <w:gridCol w:w="1721"/>
        <w:gridCol w:w="1721"/>
      </w:tblGrid>
      <w:tr w:rsidR="00000000" w14:paraId="3C1904E8" w14:textId="77777777" w:rsidTr="009B7B92">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5C6D329"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Edad</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79FAA87"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Personas (1/1/2025)</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35DE6B1"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Hogares en alquiler de mercado, 2007</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467F27C"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Hogares en alquiler de mercado, 2025</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2CE6540"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Hogares en propiedad, 2007</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30F18CD"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Hogares en propiedad, 2025</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5372E10"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Sobrecarga de gasto en vivienda, 2015</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0EF017E"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Sobrecarga, 2025</w:t>
            </w:r>
          </w:p>
        </w:tc>
      </w:tr>
      <w:tr w:rsidR="00000000" w14:paraId="0FAC804E"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DE12B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16 a 29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80FFE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7.558.029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E5F95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28,4 %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9B4FD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49,8 %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524DF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58,1 %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8596F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30,6 %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FCFE8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12,4 %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BCA25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7,0 %</w:t>
            </w:r>
          </w:p>
        </w:tc>
      </w:tr>
      <w:tr w:rsidR="00000000" w14:paraId="45B5963A"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C2F9B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30 a 44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F1CE7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9.482.709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8AC34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15,8 %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71A9DE"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32,1 %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8EA34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74,3 %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19F8B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53,1 %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6740E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dato por este tramo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30944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dato por este tramo</w:t>
            </w:r>
          </w:p>
        </w:tc>
      </w:tr>
      <w:tr w:rsidR="00000000" w14:paraId="18665585"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51038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45 a 64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00ADA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15.034.032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11C8B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4CE18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15,3 %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75C15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83,8 %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877F7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75,0 %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312BE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dato por este tramo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6D2D0F"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dato por este tramo</w:t>
            </w:r>
          </w:p>
        </w:tc>
      </w:tr>
      <w:tr w:rsidR="00000000" w14:paraId="3CFB5C40"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EB843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65 años o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3C14F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10.178.625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FCF93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F0556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09BF7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87,5 %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02162A"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88,2 %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19010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48629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4,8 %</w:t>
            </w:r>
          </w:p>
        </w:tc>
      </w:tr>
      <w:tr w:rsidR="00000000" w14:paraId="591AE99B"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0EE6D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Total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BA3C3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49.128.297 (incluye menores de 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A4E4B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10,4 %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E73F6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786D7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80,1 %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0B812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73,3 %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65E39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D8394C"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7,2 %</w:t>
            </w:r>
          </w:p>
        </w:tc>
      </w:tr>
    </w:tbl>
    <w:p w14:paraId="7880C6B5" w14:textId="77777777" w:rsidR="009B7B92" w:rsidRDefault="009B7B92">
      <w:pPr>
        <w:pStyle w:val="pie"/>
        <w:spacing w:before="0" w:beforeAutospacing="0" w:after="120" w:afterAutospacing="0"/>
        <w:rPr>
          <w:rFonts w:ascii="Calibri" w:hAnsi="Calibri" w:cs="Calibri"/>
        </w:rPr>
      </w:pPr>
      <w:r>
        <w:rPr>
          <w:rFonts w:ascii="Calibri" w:hAnsi="Calibri" w:cs="Calibri"/>
        </w:rPr>
        <w:t>Personas: Eurostat. Tenencia: INE, Encuesta de Condiciones de Vida, por edad de la persona de referencia del hogar; en el tramo de 16 a 29 años solo recoge a quien ya se ha emancipado. Sobrecarga: Eurostat, porcentaje de personas de esa edad.</w:t>
      </w:r>
    </w:p>
    <w:tbl>
      <w:tblPr>
        <w:tblW w:w="5000" w:type="pct"/>
        <w:tblCellMar>
          <w:top w:w="15" w:type="dxa"/>
          <w:left w:w="15" w:type="dxa"/>
          <w:bottom w:w="15" w:type="dxa"/>
          <w:right w:w="15" w:type="dxa"/>
        </w:tblCellMar>
        <w:tblLook w:val="04A0" w:firstRow="1" w:lastRow="0" w:firstColumn="1" w:lastColumn="0" w:noHBand="0" w:noVBand="1"/>
      </w:tblPr>
      <w:tblGrid>
        <w:gridCol w:w="5738"/>
        <w:gridCol w:w="2151"/>
        <w:gridCol w:w="2151"/>
        <w:gridCol w:w="2151"/>
        <w:gridCol w:w="2151"/>
      </w:tblGrid>
      <w:tr w:rsidR="00000000" w14:paraId="0F30C03B" w14:textId="77777777" w:rsidTr="009B7B92">
        <w:tc>
          <w:tcPr>
            <w:tcW w:w="2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F540111" w14:textId="77777777" w:rsidR="009B7B92" w:rsidRDefault="009B7B92">
            <w:pPr>
              <w:rPr>
                <w:rFonts w:ascii="Calibri" w:hAnsi="Calibri" w:cs="Calibri"/>
              </w:rPr>
            </w:pP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4B9D7FE"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2015</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8A01DFC"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2024</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1AB5046"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Variación</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4334D7F"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Descontada la inflación</w:t>
            </w:r>
          </w:p>
        </w:tc>
      </w:tr>
      <w:tr w:rsidR="00000000" w14:paraId="31759385"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4B48A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Salario medio, de 25 a 29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2F623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16.046 €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D6FA1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22.723 €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45541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+41,6 %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B6F8DA"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+14,7 %</w:t>
            </w:r>
          </w:p>
        </w:tc>
      </w:tr>
      <w:tr w:rsidR="00000000" w14:paraId="42485A82"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A9245F"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Salario medio, de 30 a 34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E4F5D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19.598 €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B78B0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26.944 €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5D4A3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+37,5 %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F3C13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+11,4 %</w:t>
            </w:r>
          </w:p>
        </w:tc>
      </w:tr>
      <w:tr w:rsidR="00000000" w14:paraId="6EAA5E71"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C50CE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Salario medio, todas las edades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8D1EC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23.106 €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E1E9B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29.540 €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CF16C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+27,9 %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A8895C"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+3,6 %</w:t>
            </w:r>
          </w:p>
        </w:tc>
      </w:tr>
      <w:tr w:rsidR="00000000" w14:paraId="08FF29ED"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F614F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de 18 a 34 años que viven con sus padres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8EB0E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58,0 %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247239"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68,7 %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3E96F4" w14:textId="77777777" w:rsidR="009B7B92" w:rsidRDefault="009B7B92">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31C27E" w14:textId="77777777" w:rsidR="009B7B92" w:rsidRDefault="009B7B92">
            <w:pPr>
              <w:spacing w:before="60" w:after="180"/>
              <w:rPr>
                <w:rFonts w:eastAsia="Times New Roman"/>
                <w:sz w:val="20"/>
                <w:szCs w:val="20"/>
              </w:rPr>
            </w:pPr>
          </w:p>
        </w:tc>
      </w:tr>
    </w:tbl>
    <w:p w14:paraId="3FF82DE2" w14:textId="77777777" w:rsidR="009B7B92" w:rsidRDefault="009B7B92">
      <w:pPr>
        <w:pStyle w:val="pie"/>
        <w:spacing w:before="0" w:beforeAutospacing="0" w:after="120" w:afterAutospacing="0"/>
        <w:rPr>
          <w:rFonts w:ascii="Calibri" w:hAnsi="Calibri" w:cs="Calibri"/>
        </w:rPr>
      </w:pPr>
      <w:r>
        <w:rPr>
          <w:rFonts w:ascii="Calibri" w:hAnsi="Calibri" w:cs="Calibri"/>
        </w:rPr>
        <w:t>Salarios: INE, Encuesta Anual de Estructura Salarial, 2015 y 2024; variación real descontando el IPC (+23,5 %). Jóvenes con sus padres: Eurostat, 2015 y 2025.</w:t>
      </w:r>
    </w:p>
    <w:p w14:paraId="2F050734" w14:textId="77777777" w:rsidR="009B7B92" w:rsidRDefault="009B7B92">
      <w:pPr>
        <w:numPr>
          <w:ilvl w:val="0"/>
          <w:numId w:val="3"/>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El cambio se concentra entre los 30 y los 44 años</w:t>
      </w:r>
      <w:r>
        <w:rPr>
          <w:rFonts w:ascii="Calibri" w:eastAsia="Times New Roman" w:hAnsi="Calibri" w:cs="Calibri"/>
          <w:color w:val="1F2933"/>
          <w:sz w:val="21"/>
          <w:szCs w:val="21"/>
        </w:rPr>
        <w:t>: la propiedad cae 21 puntos desde 2007 y el alquiler de mercado se duplica.</w:t>
      </w:r>
    </w:p>
    <w:p w14:paraId="6EF21008" w14:textId="77777777" w:rsidR="009B7B92" w:rsidRDefault="009B7B92">
      <w:pPr>
        <w:numPr>
          <w:ilvl w:val="0"/>
          <w:numId w:val="3"/>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Los salarios de los jóvenes han subido más que la media</w:t>
      </w:r>
      <w:r>
        <w:rPr>
          <w:rFonts w:ascii="Calibri" w:eastAsia="Times New Roman" w:hAnsi="Calibri" w:cs="Calibri"/>
          <w:color w:val="1F2933"/>
          <w:sz w:val="21"/>
          <w:szCs w:val="21"/>
        </w:rPr>
        <w:t>, también descontando la inflación, y aun así cada vez más viven con sus padres. El problema no está en que cobren menos que en 2015, sino en lo que cuesta entrar.</w:t>
      </w:r>
    </w:p>
    <w:p w14:paraId="575E014F" w14:textId="77777777" w:rsidR="009B7B92" w:rsidRDefault="009B7B92">
      <w:pPr>
        <w:numPr>
          <w:ilvl w:val="0"/>
          <w:numId w:val="3"/>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Los mayores son el grupo más protegido y a la vez el único en que la sobrecarga sube.</w:t>
      </w:r>
      <w:r>
        <w:rPr>
          <w:rFonts w:ascii="Calibri" w:eastAsia="Times New Roman" w:hAnsi="Calibri" w:cs="Calibri"/>
          <w:color w:val="1F2933"/>
          <w:sz w:val="21"/>
          <w:szCs w:val="21"/>
        </w:rPr>
        <w:t xml:space="preserve"> El daño se concentra en la minoría que alquila o vive sola.</w:t>
      </w:r>
    </w:p>
    <w:p w14:paraId="4C651E06" w14:textId="77777777" w:rsidR="009B7B92" w:rsidRDefault="009B7B92">
      <w:pPr>
        <w:pStyle w:val="Ttulo2"/>
        <w:rPr>
          <w:rFonts w:ascii="Calibri" w:eastAsia="Times New Roman" w:hAnsi="Calibri" w:cs="Calibri"/>
        </w:rPr>
      </w:pPr>
      <w:r>
        <w:rPr>
          <w:rFonts w:ascii="Calibri" w:eastAsia="Times New Roman" w:hAnsi="Calibri" w:cs="Calibri"/>
        </w:rPr>
        <w:t>4. Las presiones, aparte</w:t>
      </w:r>
    </w:p>
    <w:p w14:paraId="5E3D9C5A" w14:textId="77777777" w:rsidR="009B7B92" w:rsidRDefault="009B7B92">
      <w:pPr>
        <w:pStyle w:val="NormalWeb"/>
        <w:rPr>
          <w:rFonts w:ascii="Calibri" w:hAnsi="Calibri" w:cs="Calibri"/>
          <w:color w:val="1F2933"/>
          <w:sz w:val="21"/>
          <w:szCs w:val="21"/>
        </w:rPr>
      </w:pPr>
      <w:r>
        <w:rPr>
          <w:rFonts w:ascii="Calibri" w:hAnsi="Calibri" w:cs="Calibri"/>
          <w:color w:val="1F2933"/>
          <w:sz w:val="21"/>
          <w:szCs w:val="21"/>
        </w:rPr>
        <w:t>Lo que podría estar causando el daño. No entra en el índice.</w:t>
      </w:r>
    </w:p>
    <w:tbl>
      <w:tblPr>
        <w:tblW w:w="5000" w:type="pct"/>
        <w:tblCellMar>
          <w:top w:w="15" w:type="dxa"/>
          <w:left w:w="15" w:type="dxa"/>
          <w:bottom w:w="15" w:type="dxa"/>
          <w:right w:w="15" w:type="dxa"/>
        </w:tblCellMar>
        <w:tblLook w:val="04A0" w:firstRow="1" w:lastRow="0" w:firstColumn="1" w:lastColumn="0" w:noHBand="0" w:noVBand="1"/>
      </w:tblPr>
      <w:tblGrid>
        <w:gridCol w:w="3443"/>
        <w:gridCol w:w="2008"/>
        <w:gridCol w:w="2438"/>
        <w:gridCol w:w="2151"/>
        <w:gridCol w:w="2151"/>
        <w:gridCol w:w="2151"/>
      </w:tblGrid>
      <w:tr w:rsidR="00000000" w14:paraId="17D433BE" w14:textId="77777777" w:rsidTr="009B7B92">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CA4102B"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Presión</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D0D3BE8"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FBFF78B"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288552E"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2019</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3389CB5"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2023</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DE07ACF"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2025</w:t>
            </w:r>
          </w:p>
        </w:tc>
      </w:tr>
      <w:tr w:rsidR="00000000" w14:paraId="2FCDD7E6"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D1B0A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Turistas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72CC1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millones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0C448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FRONTUR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ADD56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83,5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E06DAE"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85,2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DC705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96,8</w:t>
            </w:r>
          </w:p>
        </w:tc>
      </w:tr>
      <w:tr w:rsidR="00000000" w14:paraId="1D6B096F"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E071C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Noches en alojamientos de plataformas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7A270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millones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39014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experimental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F3D03F"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88E29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69B5AA"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189,5</w:t>
            </w:r>
          </w:p>
        </w:tc>
      </w:tr>
      <w:tr w:rsidR="00000000" w14:paraId="6C746F69"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55B68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480C4C"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0C7C6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experimental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0C54A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dato (la serie empieza en 2020: 321.496)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17719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340.424 (agosto)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6D842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381.837 (mayo); 341.001 en mayo de 2026</w:t>
            </w:r>
          </w:p>
        </w:tc>
      </w:tr>
      <w:tr w:rsidR="00000000" w14:paraId="780BA0AE"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E310C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0738B3"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miles de personas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16EA6A"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2BD7FA"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456,5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0941C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647,9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2D2C5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582,9</w:t>
            </w:r>
          </w:p>
        </w:tc>
      </w:tr>
      <w:tr w:rsidR="00000000" w14:paraId="0030AB3B"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203CB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nuevos frente a viviendas terminadas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C5AB3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miles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46577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EPA; Ministerio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972FA7"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121,9 frente a 78,8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0BD9F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265,4 frente a 89,3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B5600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258,2 frente a 93,7</w:t>
            </w:r>
          </w:p>
        </w:tc>
      </w:tr>
      <w:tr w:rsidR="00000000" w14:paraId="0D7993E3"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25B7FE"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Sobreprecio de las viviendas que entran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10890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sobre las ya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64CBA6"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E5627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6,2 (2020)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FE594C"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dato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B4A70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16,5 (2024)</w:t>
            </w:r>
          </w:p>
        </w:tc>
      </w:tr>
      <w:tr w:rsidR="00000000" w14:paraId="248A7890"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2B301A"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protegidas calificadas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E1179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537E0F"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17DCE5"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dato leído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81EFB1"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8.847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D5437A"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12.858</w:t>
            </w:r>
          </w:p>
        </w:tc>
      </w:tr>
    </w:tbl>
    <w:p w14:paraId="6F3FEC99" w14:textId="77777777" w:rsidR="009B7B92" w:rsidRDefault="009B7B92">
      <w:pPr>
        <w:pStyle w:val="NormalWeb"/>
        <w:rPr>
          <w:rFonts w:ascii="Calibri" w:hAnsi="Calibri" w:cs="Calibri"/>
          <w:color w:val="1F2933"/>
          <w:sz w:val="21"/>
          <w:szCs w:val="21"/>
        </w:rPr>
      </w:pPr>
      <w:r>
        <w:rPr>
          <w:rFonts w:ascii="Calibri" w:hAnsi="Calibri" w:cs="Calibri"/>
          <w:color w:val="1F2933"/>
          <w:sz w:val="21"/>
          <w:szCs w:val="21"/>
        </w:rPr>
        <w:t>Todas las presiones suben entre 2019 y 2025, salvo el número de viviendas turísticas, que cae en 2026. La que más crece es el uso turístico de la vivienda medido en noches (+79 %), no en viviendas. Que varias cosas suban a la vez no dice cuál causa el daño.</w:t>
      </w:r>
    </w:p>
    <w:p w14:paraId="0264A3F2" w14:textId="77777777" w:rsidR="009B7B92" w:rsidRDefault="009B7B92">
      <w:pPr>
        <w:pStyle w:val="Ttulo2"/>
        <w:rPr>
          <w:rFonts w:ascii="Calibri" w:eastAsia="Times New Roman" w:hAnsi="Calibri" w:cs="Calibri"/>
        </w:rPr>
      </w:pPr>
      <w:r>
        <w:rPr>
          <w:rFonts w:ascii="Calibri" w:eastAsia="Times New Roman" w:hAnsi="Calibri" w:cs="Calibri"/>
        </w:rPr>
        <w:t>5. Primer cruce por territorio</w:t>
      </w:r>
    </w:p>
    <w:p w14:paraId="69F21FDA" w14:textId="77777777" w:rsidR="009B7B92" w:rsidRDefault="009B7B92">
      <w:pPr>
        <w:pStyle w:val="NormalWeb"/>
        <w:rPr>
          <w:rFonts w:ascii="Calibri" w:hAnsi="Calibri" w:cs="Calibri"/>
          <w:color w:val="1F2933"/>
          <w:sz w:val="21"/>
          <w:szCs w:val="21"/>
        </w:rPr>
      </w:pPr>
      <w:r>
        <w:rPr>
          <w:rFonts w:ascii="Calibri" w:hAnsi="Calibri" w:cs="Calibri"/>
          <w:color w:val="1F2933"/>
          <w:sz w:val="21"/>
          <w:szCs w:val="21"/>
        </w:rPr>
        <w:t>Si la presión turística causa daño, debería haber más daño donde hay más vivienda turística. Con los datos disponibles hoy por ciudad solo se puede comparar una medida de daño con una de presión, en cuatro ciudades.</w:t>
      </w:r>
    </w:p>
    <w:tbl>
      <w:tblPr>
        <w:tblW w:w="5000" w:type="pct"/>
        <w:tblCellMar>
          <w:top w:w="15" w:type="dxa"/>
          <w:left w:w="15" w:type="dxa"/>
          <w:bottom w:w="15" w:type="dxa"/>
          <w:right w:w="15" w:type="dxa"/>
        </w:tblCellMar>
        <w:tblLook w:val="04A0" w:firstRow="1" w:lastRow="0" w:firstColumn="1" w:lastColumn="0" w:noHBand="0" w:noVBand="1"/>
      </w:tblPr>
      <w:tblGrid>
        <w:gridCol w:w="4302"/>
        <w:gridCol w:w="5737"/>
        <w:gridCol w:w="4303"/>
      </w:tblGrid>
      <w:tr w:rsidR="00000000" w14:paraId="26C43130" w14:textId="77777777" w:rsidTr="009B7B92">
        <w:tc>
          <w:tcPr>
            <w:tcW w:w="1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8BCDD18"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2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07AA59A"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Hogares no propietarios que gastan más del 30 % de su renta neta en vivienda (2024)</w:t>
            </w:r>
          </w:p>
        </w:tc>
        <w:tc>
          <w:tcPr>
            <w:tcW w:w="1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2FF484" w14:textId="77777777" w:rsidR="009B7B92" w:rsidRDefault="009B7B92">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Viviendas de uso turístico sobre el parque (mayo de 2026)</w:t>
            </w:r>
          </w:p>
        </w:tc>
      </w:tr>
      <w:tr w:rsidR="00000000" w14:paraId="46BE9BF4"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9FD1F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Sevilla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47785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46,8 %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E008CD"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2,12 %</w:t>
            </w:r>
          </w:p>
        </w:tc>
      </w:tr>
      <w:tr w:rsidR="00000000" w14:paraId="172616B1"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71C6AB"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Málaga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DF5E98"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46,7 %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3CCA3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3,17 %</w:t>
            </w:r>
          </w:p>
        </w:tc>
      </w:tr>
      <w:tr w:rsidR="00000000" w14:paraId="13C83BF8"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414A10"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C2FF6A"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43,5 %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CD3072"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1,02 %</w:t>
            </w:r>
          </w:p>
        </w:tc>
      </w:tr>
      <w:tr w:rsidR="00000000" w14:paraId="48752937"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B1463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Madrid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DEF9B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41,3 %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1E4CCC"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0,71 %</w:t>
            </w:r>
          </w:p>
        </w:tc>
      </w:tr>
      <w:tr w:rsidR="00000000" w14:paraId="20346920" w14:textId="77777777" w:rsidTr="009B7B92">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BB0D9A"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05B8FF"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32,5 %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96BF44" w14:textId="77777777" w:rsidR="009B7B92" w:rsidRDefault="009B7B92">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1,28 %</w:t>
            </w:r>
          </w:p>
        </w:tc>
      </w:tr>
    </w:tbl>
    <w:p w14:paraId="15B1A6CD" w14:textId="77777777" w:rsidR="009B7B92" w:rsidRDefault="009B7B92">
      <w:pPr>
        <w:numPr>
          <w:ilvl w:val="0"/>
          <w:numId w:val="4"/>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El orden coincide a grandes rasgos</w:t>
      </w:r>
      <w:r>
        <w:rPr>
          <w:rFonts w:ascii="Calibri" w:eastAsia="Times New Roman" w:hAnsi="Calibri" w:cs="Calibri"/>
          <w:color w:val="1F2933"/>
          <w:sz w:val="21"/>
          <w:szCs w:val="21"/>
        </w:rPr>
        <w:t>: Sevilla y Málaga tienen más vivienda turística sobre su parque y más hogares en sobresfuerzo que Barcelona y Madrid.</w:t>
      </w:r>
    </w:p>
    <w:p w14:paraId="5B58C676" w14:textId="77777777" w:rsidR="009B7B92" w:rsidRDefault="009B7B92">
      <w:pPr>
        <w:numPr>
          <w:ilvl w:val="0"/>
          <w:numId w:val="4"/>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No es una prueba.</w:t>
      </w:r>
      <w:r>
        <w:rPr>
          <w:rFonts w:ascii="Calibri" w:eastAsia="Times New Roman" w:hAnsi="Calibri" w:cs="Calibri"/>
          <w:color w:val="1F2933"/>
          <w:sz w:val="21"/>
          <w:szCs w:val="21"/>
        </w:rPr>
        <w:t xml:space="preserve"> Son cuatro ciudades. Sevilla y Málaga tienen también rentas más bajas, lo que por sí solo eleva el esfuerzo. Y Málaga, con mucha más vivienda turística que Sevilla, tiene el mismo sobresfuerzo.</w:t>
      </w:r>
    </w:p>
    <w:p w14:paraId="77C27B59" w14:textId="77777777" w:rsidR="009B7B92" w:rsidRDefault="009B7B92">
      <w:pPr>
        <w:numPr>
          <w:ilvl w:val="0"/>
          <w:numId w:val="4"/>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La medida de daño no es la del índice.</w:t>
      </w:r>
      <w:r>
        <w:rPr>
          <w:rFonts w:ascii="Calibri" w:eastAsia="Times New Roman" w:hAnsi="Calibri" w:cs="Calibri"/>
          <w:color w:val="1F2933"/>
          <w:sz w:val="21"/>
          <w:szCs w:val="21"/>
        </w:rPr>
        <w:t xml:space="preserve"> Es la única disponible por ciudad: hogares no propietarios que gastan más del 30 % de su renta neta. No se ha comprobado si el Banco de España la refiere al municipio o a su área urbana.</w:t>
      </w:r>
    </w:p>
    <w:p w14:paraId="7B030767" w14:textId="77777777" w:rsidR="009B7B92" w:rsidRDefault="009B7B92">
      <w:pPr>
        <w:pStyle w:val="Ttulo2"/>
        <w:rPr>
          <w:rFonts w:ascii="Calibri" w:eastAsia="Times New Roman" w:hAnsi="Calibri" w:cs="Calibri"/>
        </w:rPr>
      </w:pPr>
      <w:r>
        <w:rPr>
          <w:rFonts w:ascii="Calibri" w:eastAsia="Times New Roman" w:hAnsi="Calibri" w:cs="Calibri"/>
        </w:rPr>
        <w:t>6. Qué falta para que sea un índice de verdad</w:t>
      </w:r>
    </w:p>
    <w:p w14:paraId="3E400735" w14:textId="77777777" w:rsidR="009B7B92" w:rsidRDefault="009B7B92">
      <w:pPr>
        <w:numPr>
          <w:ilvl w:val="0"/>
          <w:numId w:val="5"/>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Calcularlo por ciudad y por año.</w:t>
      </w:r>
      <w:r>
        <w:rPr>
          <w:rFonts w:ascii="Calibri" w:eastAsia="Times New Roman" w:hAnsi="Calibri" w:cs="Calibri"/>
          <w:color w:val="1F2933"/>
          <w:sz w:val="21"/>
          <w:szCs w:val="21"/>
        </w:rPr>
        <w:t xml:space="preserve"> Los nueve componentes proceden de una encuesta nacional; por municipio solo hay precio del alquiler, viviendas turísticas y el dato de sobresfuerzo del Banco de España. Con los microdatos de la encuesta se podría bajar a comunidad autónoma.</w:t>
      </w:r>
    </w:p>
    <w:p w14:paraId="396161C8" w14:textId="77777777" w:rsidR="009B7B92" w:rsidRDefault="009B7B92">
      <w:pPr>
        <w:numPr>
          <w:ilvl w:val="0"/>
          <w:numId w:val="5"/>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Añadir lo que no tiene serie completa</w:t>
      </w:r>
      <w:r>
        <w:rPr>
          <w:rFonts w:ascii="Calibri" w:eastAsia="Times New Roman" w:hAnsi="Calibri" w:cs="Calibri"/>
          <w:color w:val="1F2933"/>
          <w:sz w:val="21"/>
          <w:szCs w:val="21"/>
        </w:rPr>
        <w:t>: mudanzas forzosas, sobreprecio de entrada (solo 2020 y 2024), parque social por habitante, familias monoparentales en riesgo de pobreza, y desahucios, que los juzgados no desglosan por edad ni por tipo de hogar.</w:t>
      </w:r>
    </w:p>
    <w:p w14:paraId="67F11437" w14:textId="77777777" w:rsidR="009B7B92" w:rsidRDefault="009B7B92">
      <w:pPr>
        <w:numPr>
          <w:ilvl w:val="0"/>
          <w:numId w:val="5"/>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Decidir los pesos.</w:t>
      </w:r>
      <w:r>
        <w:rPr>
          <w:rFonts w:ascii="Calibri" w:eastAsia="Times New Roman" w:hAnsi="Calibri" w:cs="Calibri"/>
          <w:color w:val="1F2933"/>
          <w:sz w:val="21"/>
          <w:szCs w:val="21"/>
        </w:rPr>
        <w:t xml:space="preserve"> Los de esta versión son iguales por defecto; la decisión es tuya, y cambia la lectura del número conjunto.</w:t>
      </w:r>
    </w:p>
    <w:p w14:paraId="26A164AA" w14:textId="77777777" w:rsidR="009B7B92" w:rsidRDefault="009B7B92">
      <w:pPr>
        <w:numPr>
          <w:ilvl w:val="0"/>
          <w:numId w:val="5"/>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Dos advertencias sobre los datos.</w:t>
      </w:r>
      <w:r>
        <w:rPr>
          <w:rFonts w:ascii="Calibri" w:eastAsia="Times New Roman" w:hAnsi="Calibri" w:cs="Calibri"/>
          <w:color w:val="1F2933"/>
          <w:sz w:val="21"/>
          <w:szCs w:val="21"/>
        </w:rPr>
        <w:t xml:space="preserve"> 2021 mide ingresos del año de la pandemia y sale peor de lo normal. Y el INE adelantó las entrevistas de otoño a primavera entre 2021 y 2023, lo que puede haber mejorado los indicadores de esfuerzo sin que cambiara la realidad; no se ha podido medir cuánto.</w:t>
      </w:r>
    </w:p>
    <w:p w14:paraId="189F89B4" w14:textId="77777777" w:rsidR="009B7B92" w:rsidRDefault="009B7B92">
      <w:pPr>
        <w:pStyle w:val="pie"/>
        <w:spacing w:before="0" w:beforeAutospacing="0" w:after="120" w:afterAutospacing="0"/>
        <w:rPr>
          <w:rFonts w:ascii="Calibri" w:hAnsi="Calibri" w:cs="Calibri"/>
        </w:rPr>
      </w:pPr>
      <w:r>
        <w:rPr>
          <w:rFonts w:ascii="Calibri" w:hAnsi="Calibri" w:cs="Calibri"/>
        </w:rPr>
        <w:t xml:space="preserve">Los datos y el cálculo están en </w:t>
      </w:r>
      <w:r>
        <w:rPr>
          <w:rFonts w:ascii="Calibri" w:hAnsi="Calibri" w:cs="Calibri"/>
          <w:i/>
          <w:iCs/>
        </w:rPr>
        <w:t>datos\indice.js</w:t>
      </w:r>
      <w:r>
        <w:rPr>
          <w:rFonts w:ascii="Calibri" w:hAnsi="Calibri" w:cs="Calibri"/>
        </w:rPr>
        <w:t xml:space="preserve"> y </w:t>
      </w:r>
      <w:r>
        <w:rPr>
          <w:rFonts w:ascii="Calibri" w:hAnsi="Calibri" w:cs="Calibri"/>
          <w:i/>
          <w:iCs/>
        </w:rPr>
        <w:t>datos\indice_sostenibilidad.csv</w:t>
      </w:r>
      <w:r>
        <w:rPr>
          <w:rFonts w:ascii="Calibri" w:hAnsi="Calibri" w:cs="Calibri"/>
        </w:rPr>
        <w:t>. Todos los valores se leyeron en la interfaz de datos de Eurostat el 12 de octubre de 2026.</w:t>
      </w:r>
    </w:p>
    <w:sectPr w:rsidR="00000000" w:rsidSect="009B7B92">
      <w:pgSz w:w="16838" w:h="11906" w:orient="landscape"/>
      <w:pgMar w:top="1240" w:right="1240" w:bottom="1240" w:left="12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902D0"/>
    <w:multiLevelType w:val="multilevel"/>
    <w:tmpl w:val="2086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C4082"/>
    <w:multiLevelType w:val="multilevel"/>
    <w:tmpl w:val="F728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265CB"/>
    <w:multiLevelType w:val="multilevel"/>
    <w:tmpl w:val="F80E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631C3"/>
    <w:multiLevelType w:val="multilevel"/>
    <w:tmpl w:val="7DD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933BC"/>
    <w:multiLevelType w:val="multilevel"/>
    <w:tmpl w:val="0802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116224">
    <w:abstractNumId w:val="1"/>
  </w:num>
  <w:num w:numId="2" w16cid:durableId="1619292491">
    <w:abstractNumId w:val="4"/>
  </w:num>
  <w:num w:numId="3" w16cid:durableId="838958162">
    <w:abstractNumId w:val="2"/>
  </w:num>
  <w:num w:numId="4" w16cid:durableId="1813324059">
    <w:abstractNumId w:val="0"/>
  </w:num>
  <w:num w:numId="5" w16cid:durableId="12990686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7B92"/>
    <w:rsid w:val="009B7B92"/>
    <w:rsid w:val="00B371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1FA84F"/>
  <w15:chartTrackingRefBased/>
  <w15:docId w15:val="{B491446C-CE45-4DD6-B8DE-14CD99B5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360" w:after="120"/>
      <w:outlineLvl w:val="0"/>
    </w:pPr>
    <w:rPr>
      <w:b/>
      <w:bCs/>
      <w:color w:val="12355B"/>
      <w:kern w:val="36"/>
      <w:sz w:val="36"/>
      <w:szCs w:val="36"/>
    </w:rPr>
  </w:style>
  <w:style w:type="paragraph" w:styleId="Ttulo2">
    <w:name w:val="heading 2"/>
    <w:basedOn w:val="Normal"/>
    <w:link w:val="Ttulo2Car"/>
    <w:uiPriority w:val="9"/>
    <w:qFormat/>
    <w:pPr>
      <w:pBdr>
        <w:bottom w:val="single" w:sz="6" w:space="0" w:color="9FB3C8"/>
      </w:pBdr>
      <w:spacing w:before="280" w:after="80"/>
      <w:outlineLvl w:val="1"/>
    </w:pPr>
    <w:rPr>
      <w:b/>
      <w:bCs/>
      <w:color w:val="12355B"/>
      <w:sz w:val="26"/>
      <w:szCs w:val="26"/>
    </w:rPr>
  </w:style>
  <w:style w:type="paragraph" w:styleId="Ttulo3">
    <w:name w:val="heading 3"/>
    <w:basedOn w:val="Normal"/>
    <w:link w:val="Ttulo3Car"/>
    <w:uiPriority w:val="9"/>
    <w:qFormat/>
    <w:pPr>
      <w:spacing w:before="200" w:after="60"/>
      <w:outlineLvl w:val="2"/>
    </w:pPr>
    <w:rPr>
      <w:b/>
      <w:bCs/>
      <w:color w:val="1F5A8A"/>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aja">
    <w:name w:val="caja"/>
    <w:basedOn w:val="Normal"/>
    <w:pPr>
      <w:pBdr>
        <w:top w:val="single" w:sz="6" w:space="6" w:color="1F5A8A"/>
        <w:left w:val="single" w:sz="6" w:space="8" w:color="1F5A8A"/>
        <w:bottom w:val="single" w:sz="6" w:space="6" w:color="1F5A8A"/>
        <w:right w:val="single" w:sz="6" w:space="8" w:color="1F5A8A"/>
      </w:pBdr>
      <w:shd w:val="clear" w:color="auto" w:fill="EAF2F8"/>
      <w:spacing w:before="100" w:beforeAutospacing="1" w:after="180"/>
    </w:pPr>
  </w:style>
  <w:style w:type="paragraph" w:customStyle="1" w:styleId="aviso">
    <w:name w:val="aviso"/>
    <w:basedOn w:val="Normal"/>
    <w:pPr>
      <w:pBdr>
        <w:top w:val="single" w:sz="6" w:space="6" w:color="B7791F"/>
        <w:left w:val="single" w:sz="6" w:space="8" w:color="B7791F"/>
        <w:bottom w:val="single" w:sz="6" w:space="6" w:color="B7791F"/>
        <w:right w:val="single" w:sz="6" w:space="8" w:color="B7791F"/>
      </w:pBdr>
      <w:shd w:val="clear" w:color="auto" w:fill="FEF5E7"/>
      <w:spacing w:before="100" w:beforeAutospacing="1" w:after="180"/>
    </w:pPr>
  </w:style>
  <w:style w:type="paragraph" w:customStyle="1" w:styleId="noticia">
    <w:name w:val="noticia"/>
    <w:basedOn w:val="Normal"/>
    <w:pPr>
      <w:pBdr>
        <w:top w:val="single" w:sz="18" w:space="6" w:color="12355B"/>
      </w:pBdr>
      <w:spacing w:before="280" w:after="100" w:afterAutospacing="1"/>
    </w:pPr>
  </w:style>
  <w:style w:type="paragraph" w:customStyle="1" w:styleId="sello">
    <w:name w:val="sello"/>
    <w:basedOn w:val="Normal"/>
    <w:pPr>
      <w:spacing w:before="100" w:beforeAutospacing="1" w:after="100" w:afterAutospacing="1"/>
    </w:pPr>
    <w:rPr>
      <w:b/>
      <w:bCs/>
      <w:color w:val="B7791F"/>
      <w:spacing w:val="20"/>
      <w:sz w:val="17"/>
      <w:szCs w:val="17"/>
    </w:rPr>
  </w:style>
  <w:style w:type="paragraph" w:customStyle="1" w:styleId="titular">
    <w:name w:val="titular"/>
    <w:basedOn w:val="Normal"/>
    <w:pPr>
      <w:spacing w:before="100" w:beforeAutospacing="1" w:after="80"/>
    </w:pPr>
    <w:rPr>
      <w:rFonts w:ascii="Georgia" w:hAnsi="Georgia"/>
      <w:b/>
      <w:bCs/>
      <w:color w:val="102A43"/>
      <w:sz w:val="40"/>
      <w:szCs w:val="40"/>
    </w:rPr>
  </w:style>
  <w:style w:type="paragraph" w:customStyle="1" w:styleId="entradilla">
    <w:name w:val="entradilla"/>
    <w:basedOn w:val="Normal"/>
    <w:pPr>
      <w:spacing w:before="100" w:beforeAutospacing="1" w:after="160"/>
    </w:pPr>
    <w:rPr>
      <w:rFonts w:ascii="Georgia" w:hAnsi="Georgia"/>
      <w:color w:val="334E68"/>
    </w:rPr>
  </w:style>
  <w:style w:type="paragraph" w:customStyle="1" w:styleId="pie">
    <w:name w:val="pie"/>
    <w:basedOn w:val="Normal"/>
    <w:pPr>
      <w:spacing w:before="100" w:beforeAutospacing="1" w:after="100" w:afterAutospacing="1"/>
    </w:pPr>
    <w:rPr>
      <w:color w:val="52606D"/>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00498">
      <w:marLeft w:val="0"/>
      <w:marRight w:val="0"/>
      <w:marTop w:val="0"/>
      <w:marBottom w:val="180"/>
      <w:divBdr>
        <w:top w:val="single" w:sz="6" w:space="6" w:color="B7791F"/>
        <w:left w:val="single" w:sz="6" w:space="8" w:color="B7791F"/>
        <w:bottom w:val="single" w:sz="6" w:space="6" w:color="B7791F"/>
        <w:right w:val="single" w:sz="6" w:space="8" w:color="B7791F"/>
      </w:divBdr>
    </w:div>
    <w:div w:id="1007365037">
      <w:marLeft w:val="0"/>
      <w:marRight w:val="0"/>
      <w:marTop w:val="0"/>
      <w:marBottom w:val="180"/>
      <w:divBdr>
        <w:top w:val="single" w:sz="6" w:space="6" w:color="1F5A8A"/>
        <w:left w:val="single" w:sz="6" w:space="8" w:color="1F5A8A"/>
        <w:bottom w:val="single" w:sz="6" w:space="6" w:color="1F5A8A"/>
        <w:right w:val="single" w:sz="6" w:space="8" w:color="1F5A8A"/>
      </w:divBdr>
    </w:div>
    <w:div w:id="1853103199">
      <w:marLeft w:val="0"/>
      <w:marRight w:val="0"/>
      <w:marTop w:val="0"/>
      <w:marBottom w:val="180"/>
      <w:divBdr>
        <w:top w:val="single" w:sz="6" w:space="6" w:color="B7791F"/>
        <w:left w:val="single" w:sz="6" w:space="8" w:color="B7791F"/>
        <w:bottom w:val="single" w:sz="6" w:space="6" w:color="B7791F"/>
        <w:right w:val="single" w:sz="6" w:space="8" w:color="B7791F"/>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1771</Words>
  <Characters>9741</Characters>
  <Application>Microsoft Office Word</Application>
  <DocSecurity>4</DocSecurity>
  <Lines>81</Lines>
  <Paragraphs>22</Paragraphs>
  <ScaleCrop>false</ScaleCrop>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SOIH - Vivienda: índice de sostenibilidad social</dc:title>
  <dc:subject/>
  <dc:creator>Juan  Siria racero</dc:creator>
  <cp:keywords/>
  <dc:description/>
  <cp:lastModifiedBy>Juan  Siria racero</cp:lastModifiedBy>
  <cp:revision>2</cp:revision>
  <dcterms:created xsi:type="dcterms:W3CDTF">2026-10-12T08:59:00Z</dcterms:created>
  <dcterms:modified xsi:type="dcterms:W3CDTF">2026-10-12T08:59:00Z</dcterms:modified>
</cp:coreProperties>
</file>