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shd w:fill="16213E" w:color="auto" w:val="clear"/>
            <w:tcMar>
              <w:top w:type="dxa" w:w="300"/>
              <w:left w:type="dxa" w:w="380"/>
              <w:bottom w:type="dxa" w:w="300"/>
              <w:right w:type="dxa" w:w="380"/>
            </w:tcMar>
          </w:tcPr>
          <w:p>
            <w:pPr>
              <w:spacing w:after="260" w:before="300"/>
            </w:pPr>
            <w:r>
              <w:rPr>
                <w:rFonts w:ascii="맑은 고딕" w:cs="맑은 고딕" w:eastAsia="맑은 고딕" w:hAnsi="맑은 고딕"/>
                <w:b/>
                <w:bCs/>
                <w:color w:val="D9A93B"/>
                <w:sz w:val="20"/>
                <w:szCs w:val="20"/>
              </w:rPr>
              <w:t xml:space="preserve">—— </w:t>
            </w:r>
            <w:r>
              <w:rPr>
                <w:rFonts w:ascii="맑은 고딕" w:cs="맑은 고딕" w:eastAsia="맑은 고딕" w:hAnsi="맑은 고딕"/>
                <w:b/>
                <w:bCs/>
                <w:color w:val="D9A93B"/>
                <w:spacing w:val="20"/>
                <w:sz w:val="20"/>
                <w:szCs w:val="20"/>
              </w:rPr>
              <w:t xml:space="preserve">DATA SCIENCE CASE STUDY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6"/>
                <w:szCs w:val="56"/>
              </w:rPr>
              <w:t xml:space="preserve">Clustering Model</w:t>
            </w:r>
          </w:p>
          <w:p>
            <w:pPr>
              <w:spacing w:after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Comparison · 3개 모델 비교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C7CEDB"/>
                <w:sz w:val="19"/>
                <w:szCs w:val="19"/>
              </w:rPr>
              <w:t xml:space="preserve">Iris 데이터셋 기준 비지도학습 군집화(Clustering) 파이프라인 분석</w:t>
            </w:r>
          </w:p>
          <w:p>
            <w:pPr>
              <w:spacing w:after="300"/>
            </w:pPr>
            <w:r>
              <w:rPr>
                <w:rFonts w:ascii="맑은 고딕" w:cs="맑은 고딕" w:eastAsia="맑은 고딕" w:hAnsi="맑은 고딕"/>
                <w:color w:val="C7CEDB"/>
                <w:sz w:val="19"/>
                <w:szCs w:val="19"/>
              </w:rPr>
              <w:t xml:space="preserve">— 동일 데이터·동일 조건에서 K-Means·GMM·DBSCAN 비교</w:t>
            </w:r>
          </w:p>
          <w:tbl>
            <w:tblPr>
              <w:tblW w:type="dxa" w:w="87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00"/>
              <w:gridCol w:w="4400"/>
              <w:gridCol w:w="2580"/>
            </w:tblGrid>
            <w:tr>
              <w:tc>
                <w:tcPr>
                  <w:tcW w:type="dxa" w:w="1800"/>
                  <w:tcBorders>
                    <w:top w:val="single" w:color="5A6E96" w:sz="3"/>
                    <w:left w:val="single" w:color="5A6E96" w:sz="3"/>
                    <w:bottom w:val="single" w:color="5A6E96" w:sz="3"/>
                    <w:right w:val="single" w:color="5A6E96" w:sz="3"/>
                  </w:tcBorders>
                  <w:tcMar>
                    <w:top w:type="dxa" w:w="90"/>
                    <w:left w:type="dxa" w:w="180"/>
                    <w:bottom w:type="dxa" w:w="90"/>
                    <w:right w:type="dxa" w:w="1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D9E2F3"/>
                      <w:sz w:val="16"/>
                      <w:szCs w:val="16"/>
                    </w:rPr>
                    <w:t xml:space="preserve">비지도학습</w:t>
                  </w:r>
                </w:p>
              </w:tc>
              <w:tc>
                <w:tcPr>
                  <w:tcW w:type="dxa" w:w="4400"/>
                  <w:tcBorders>
                    <w:top w:val="single" w:color="5A6E96" w:sz="3"/>
                    <w:left w:val="single" w:color="5A6E96" w:sz="3"/>
                    <w:bottom w:val="single" w:color="5A6E96" w:sz="3"/>
                    <w:right w:val="single" w:color="5A6E96" w:sz="3"/>
                  </w:tcBorders>
                  <w:tcMar>
                    <w:top w:type="dxa" w:w="90"/>
                    <w:left w:type="dxa" w:w="180"/>
                    <w:bottom w:type="dxa" w:w="90"/>
                    <w:right w:type="dxa" w:w="1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D9E2F3"/>
                      <w:sz w:val="16"/>
                      <w:szCs w:val="16"/>
                    </w:rPr>
                    <w:t xml:space="preserve">군집화(Clustering)</w:t>
                  </w:r>
                </w:p>
              </w:tc>
              <w:tc>
                <w:tcPr>
                  <w:tcW w:type="dxa" w:w="2580"/>
                  <w:tcBorders>
                    <w:top w:val="single" w:color="5A6E96" w:sz="3"/>
                    <w:left w:val="single" w:color="5A6E96" w:sz="3"/>
                    <w:bottom w:val="single" w:color="5A6E96" w:sz="3"/>
                    <w:right w:val="single" w:color="5A6E96" w:sz="3"/>
                  </w:tcBorders>
                  <w:tcMar>
                    <w:top w:type="dxa" w:w="90"/>
                    <w:left w:type="dxa" w:w="180"/>
                    <w:bottom w:type="dxa" w:w="90"/>
                    <w:right w:type="dxa" w:w="1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D9E2F3"/>
                      <w:sz w:val="16"/>
                      <w:szCs w:val="16"/>
                    </w:rPr>
                    <w:t xml:space="preserve">3개 모델 비교</w:t>
                  </w:r>
                </w:p>
              </w:tc>
            </w:tr>
          </w:tbl>
          <w:p>
            <w:pPr>
              <w:spacing w:after="300" w:before="120"/>
            </w:pPr>
          </w:p>
          <w:tbl>
            <w:tblPr>
              <w:tblW w:type="dxa" w:w="6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840"/>
              <w:gridCol w:w="3360"/>
            </w:tblGrid>
            <w:tr>
              <w:tc>
                <w:tcPr>
                  <w:tcW w:type="dxa" w:w="2840"/>
                  <w:tcBorders>
                    <w:top w:val="single" w:color="5A6E96" w:sz="3"/>
                    <w:left w:val="single" w:color="5A6E96" w:sz="3"/>
                    <w:bottom w:val="single" w:color="5A6E96" w:sz="3"/>
                    <w:right w:val="single" w:color="5A6E96" w:sz="3"/>
                  </w:tcBorders>
                  <w:tcMar>
                    <w:top w:type="dxa" w:w="90"/>
                    <w:left w:type="dxa" w:w="180"/>
                    <w:bottom w:type="dxa" w:w="90"/>
                    <w:right w:type="dxa" w:w="1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D9E2F3"/>
                      <w:sz w:val="16"/>
                      <w:szCs w:val="16"/>
                    </w:rPr>
                    <w:t xml:space="preserve">실루엣 계수 평가</w:t>
                  </w:r>
                </w:p>
              </w:tc>
              <w:tc>
                <w:tcPr>
                  <w:tcW w:type="dxa" w:w="3360"/>
                  <w:tcBorders>
                    <w:top w:val="single" w:color="5A6E96" w:sz="3"/>
                    <w:left w:val="single" w:color="5A6E96" w:sz="3"/>
                    <w:bottom w:val="single" w:color="5A6E96" w:sz="3"/>
                    <w:right w:val="single" w:color="5A6E96" w:sz="3"/>
                  </w:tcBorders>
                  <w:tcMar>
                    <w:top w:type="dxa" w:w="90"/>
                    <w:left w:type="dxa" w:w="180"/>
                    <w:bottom w:type="dxa" w:w="90"/>
                    <w:right w:type="dxa" w:w="18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D9E2F3"/>
                      <w:sz w:val="16"/>
                      <w:szCs w:val="16"/>
                    </w:rPr>
                    <w:t xml:space="preserve">PCA 2차원 시각화</w:t>
                  </w:r>
                </w:p>
              </w:tc>
            </w:tr>
          </w:tbl>
          <w:p>
            <w:pPr>
              <w:pBdr>
                <w:top w:val="single" w:color="3A4A70" w:sz="3" w:space="1"/>
              </w:pBdr>
              <w:spacing w:after="300" w:before="420"/>
            </w:pPr>
          </w:p>
          <w:tbl>
            <w:tblPr>
              <w:tblW w:type="dxa" w:w="100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  <w:gridCol w:w="100"/>
              <w:gridCol w:w="100"/>
            </w:tblGrid>
            <w:tr>
              <w:tc>
                <w:tcPr>
                  <w:tcW w:type="dxa" w:w="234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D9A93B"/>
                      <w:sz w:val="30"/>
                      <w:szCs w:val="30"/>
                    </w:rPr>
                    <w:t xml:space="preserve">150</w:t>
                  </w:r>
                </w:p>
                <w:p>
                  <w:r>
                    <w:rPr>
                      <w:rFonts w:ascii="맑은 고딕" w:cs="맑은 고딕" w:eastAsia="맑은 고딕" w:hAnsi="맑은 고딕"/>
                      <w:color w:val="9FB0CC"/>
                      <w:sz w:val="15"/>
                      <w:szCs w:val="15"/>
                    </w:rPr>
                    <w:t xml:space="preserve">전체 표본 수</w:t>
                  </w:r>
                </w:p>
              </w:tc>
              <w:tc>
                <w:tcPr>
                  <w:tcW w:type="dxa" w:w="234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30"/>
                      <w:szCs w:val="30"/>
                    </w:rPr>
                    <w:t xml:space="preserve">4</w:t>
                  </w:r>
                </w:p>
                <w:p>
                  <w:r>
                    <w:rPr>
                      <w:rFonts w:ascii="맑은 고딕" w:cs="맑은 고딕" w:eastAsia="맑은 고딕" w:hAnsi="맑은 고딕"/>
                      <w:color w:val="9FB0CC"/>
                      <w:sz w:val="15"/>
                      <w:szCs w:val="15"/>
                    </w:rPr>
                    <w:t xml:space="preserve">입력 피처 수</w:t>
                  </w:r>
                </w:p>
              </w:tc>
              <w:tc>
                <w:tcPr>
                  <w:tcW w:type="dxa" w:w="234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30"/>
                      <w:szCs w:val="30"/>
                    </w:rPr>
                    <w:t xml:space="preserve">3</w:t>
                  </w:r>
                </w:p>
                <w:p>
                  <w:r>
                    <w:rPr>
                      <w:rFonts w:ascii="맑은 고딕" w:cs="맑은 고딕" w:eastAsia="맑은 고딕" w:hAnsi="맑은 고딕"/>
                      <w:color w:val="9FB0CC"/>
                      <w:sz w:val="15"/>
                      <w:szCs w:val="15"/>
                    </w:rPr>
                    <w:t xml:space="preserve">비교 모델 수</w:t>
                  </w:r>
                </w:p>
              </w:tc>
              <w:tc>
                <w:tcPr>
                  <w:tcW w:type="dxa" w:w="234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30"/>
                      <w:szCs w:val="30"/>
                    </w:rPr>
                    <w:t xml:space="preserve">3</w:t>
                  </w:r>
                </w:p>
                <w:p>
                  <w:r>
                    <w:rPr>
                      <w:rFonts w:ascii="맑은 고딕" w:cs="맑은 고딕" w:eastAsia="맑은 고딕" w:hAnsi="맑은 고딕"/>
                      <w:color w:val="9FB0CC"/>
                      <w:sz w:val="15"/>
                      <w:szCs w:val="15"/>
                    </w:rPr>
                    <w:t xml:space="preserve">실제 품종 수(target)</w:t>
                  </w:r>
                </w:p>
              </w:tc>
            </w:tr>
          </w:tbl>
          <w:p>
            <w:pPr>
              <w:spacing w:after="260"/>
            </w:pPr>
          </w:p>
          <w:p>
            <w:pPr>
              <w:spacing w:after="260"/>
            </w:pPr>
          </w:p>
          <w:p>
            <w:pPr>
              <w:spacing w:after="260"/>
            </w:pPr>
          </w:p>
          <w:p>
            <w:pPr>
              <w:spacing w:after="260"/>
            </w:pPr>
          </w:p>
          <w:p>
            <w:pPr>
              <w:spacing w:after="260"/>
            </w:pPr>
          </w:p>
          <w:p>
            <w:pPr>
              <w:spacing w:after="260"/>
            </w:pPr>
          </w:p>
          <w:p>
            <w:pPr>
              <w:spacing w:after="260"/>
            </w:pPr>
          </w:p>
          <w:p>
            <w:pPr>
              <w:spacing w:after="260"/>
            </w:pPr>
          </w:p>
          <w:p>
            <w:pPr>
              <w:pBdr>
                <w:top w:val="single" w:color="3A4A70" w:sz="3" w:space="1"/>
              </w:pBdr>
              <w:spacing w:after="160" w:before="200"/>
            </w:pPr>
          </w:p>
          <w:tbl>
            <w:tblPr>
              <w:tblW w:type="dxa" w:w="100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60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맑은 고딕" w:cs="맑은 고딕" w:eastAsia="맑은 고딕" w:hAnsi="맑은 고딕"/>
                      <w:color w:val="9FB0CC"/>
                      <w:sz w:val="16"/>
                      <w:szCs w:val="16"/>
                    </w:rPr>
                    <w:t xml:space="preserve">scikit-learn · Iris Dataset</w:t>
                  </w:r>
                </w:p>
              </w:tc>
              <w:tc>
                <w:tcPr>
                  <w:tcW w:type="dxa" w:w="40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right"/>
                  </w:pPr>
                  <w:r>
                    <w:rPr>
                      <w:rFonts w:ascii="맑은 고딕" w:cs="맑은 고딕" w:eastAsia="맑은 고딕" w:hAnsi="맑은 고딕"/>
                      <w:color w:val="9FB0CC"/>
                      <w:sz w:val="16"/>
                      <w:szCs w:val="16"/>
                    </w:rPr>
                    <w:t xml:space="preserve">데이터 분석 &amp; 모델링 리포트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01 · 문제 정의</w:t>
            </w:r>
          </w:p>
        </w:tc>
      </w:tr>
    </w:tbl>
    <w:p>
      <w:pPr>
        <w:spacing w:after="40" w:before="28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01  </w:t>
      </w:r>
      <w:r>
        <w:rPr>
          <w:rFonts w:ascii="맑은 고딕" w:cs="맑은 고딕" w:eastAsia="맑은 고딕" w:hAnsi="맑은 고딕"/>
          <w:b/>
          <w:bCs/>
          <w:color w:val="16213E"/>
          <w:sz w:val="32"/>
          <w:szCs w:val="32"/>
        </w:rPr>
        <w:t xml:space="preserve">프로젝트 개요</w:t>
      </w:r>
    </w:p>
    <w:p>
      <w:pPr>
        <w:spacing w:after="220"/>
      </w:pPr>
      <w:r>
        <w:rPr>
          <w:rFonts w:ascii="맑은 고딕" w:cs="맑은 고딕" w:eastAsia="맑은 고딕" w:hAnsi="맑은 고딕"/>
          <w:color w:val="5A6E96"/>
          <w:sz w:val="19"/>
          <w:szCs w:val="19"/>
        </w:rPr>
        <w:t xml:space="preserve">문제 정의와 데이터셋의 구조를 파악한다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color w:val="3A4A70"/>
                <w:sz w:val="18"/>
                <w:szCs w:val="18"/>
              </w:rPr>
              <w:t xml:space="preserve">정답 라벨 없이 데이터의 구조만으로 유사한 표본끼리 그룹을 나누는 군집화(Clustering) 문제이다. 이번 분석은 실제 품종(target)이 알려진 Iris(붓꽃) 데이터셋을 일부러 사용해, 세 가지 군집화 알고리즘(K-Means·GMM·DBSCAN)이 정답 없이 나눈 그룹이 실제 품종과 얼마나 일치하는지 사후적으로 검증한다.</w:t>
            </w:r>
          </w:p>
        </w:tc>
      </w:tr>
    </w:tbl>
    <w:p>
      <w:pPr>
        <w:spacing w:after="20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1.1 데이터 구성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scikit-learn에 내장된 Iris 데이터셋은 붓꽃 표본 150건으로 구성되며, 꽃받침 길이·너비(sepal_length, sepal_width)와 꽃잎 길이·너비(petal_length, petal_width) 4개 피처를 갖는다. 품종(target)은 setosa·versicolor·virginica 3종으로 각 50건씩 균등하게 분포한다.</w:t>
      </w:r>
    </w:p>
    <w:tbl>
      <w:tblPr>
        <w:tblW w:type="dxa" w:w="10440"/>
        <w:tblBorders>
          <w:top w:val="single" w:color="16213E" w:sz="4"/>
          <w:left w:val="none" w:color="FFFFFF" w:sz="0"/>
          <w:bottom w:val="single" w:color="C7CED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7240"/>
      </w:tblGrid>
      <w:tr>
        <w:trPr>
          <w:tblHeader/>
        </w:trPr>
        <w:tc>
          <w:tcPr>
            <w:tcW w:type="dxa" w:w="320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4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전체 표본 수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150건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입력 피처 수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4개 (sepal_length, sepal_width, petal_length, petal_width)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실제 품종(target)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3종(setosa·versicolor·virginica), 각 50건씩 균등 분포</w:t>
            </w:r>
          </w:p>
        </w:tc>
      </w:tr>
    </w:tbl>
    <w:p>
      <w:pPr>
        <w:spacing w:after="2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1.2 군집화(비지도학습)의 특성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분류(Classification)와 달리 군집화는 학습 단계에서 정답(target)을 전혀 사용하지 않는다. target 컬럼은 세 모델이 만든 군집 결과를 사후에 비교·검증하기 위한 참고용으로만 별도 보관하며, 실무에서는 이런 정답조차 없는 경우가 대부분이라는 점에서 이번 분석은 "정답이 있는 상태에서 군집화 품질을 검증해보는" 학습형 사례에 해당한다.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E3E7EF" w:sz="3"/>
              <w:left w:val="single" w:color="E3E7EF" w:sz="3"/>
              <w:bottom w:val="single" w:color="E3E7EF" w:sz="3"/>
              <w:right w:val="single" w:color="E3E7EF" w:sz="3"/>
            </w:tcBorders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26"/>
                <w:szCs w:val="26"/>
              </w:rPr>
              <w:t xml:space="preserve">150</w:t>
            </w:r>
          </w:p>
          <w:p>
            <w:r>
              <w:rPr>
                <w:rFonts w:ascii="맑은 고딕" w:cs="맑은 고딕" w:eastAsia="맑은 고딕" w:hAnsi="맑은 고딕"/>
                <w:color w:val="5A6E96"/>
                <w:sz w:val="15"/>
                <w:szCs w:val="15"/>
              </w:rPr>
              <w:t xml:space="preserve">전체 표본 수</w:t>
            </w:r>
          </w:p>
        </w:tc>
        <w:tc>
          <w:tcPr>
            <w:tcW w:type="dxa" w:w="2610"/>
            <w:tcBorders>
              <w:top w:val="single" w:color="E3E7EF" w:sz="3"/>
              <w:left w:val="none" w:color="FFFFFF" w:sz="0"/>
              <w:bottom w:val="single" w:color="E3E7EF" w:sz="3"/>
              <w:right w:val="single" w:color="E3E7EF" w:sz="3"/>
            </w:tcBorders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6"/>
                <w:szCs w:val="26"/>
              </w:rPr>
              <w:t xml:space="preserve">4</w:t>
            </w:r>
          </w:p>
          <w:p>
            <w:r>
              <w:rPr>
                <w:rFonts w:ascii="맑은 고딕" w:cs="맑은 고딕" w:eastAsia="맑은 고딕" w:hAnsi="맑은 고딕"/>
                <w:color w:val="5A6E96"/>
                <w:sz w:val="15"/>
                <w:szCs w:val="15"/>
              </w:rPr>
              <w:t xml:space="preserve">입력 피처 수</w:t>
            </w:r>
          </w:p>
        </w:tc>
        <w:tc>
          <w:tcPr>
            <w:tcW w:type="dxa" w:w="2610"/>
            <w:tcBorders>
              <w:top w:val="single" w:color="E3E7EF" w:sz="3"/>
              <w:left w:val="none" w:color="FFFFFF" w:sz="0"/>
              <w:bottom w:val="single" w:color="E3E7EF" w:sz="3"/>
              <w:right w:val="single" w:color="E3E7EF" w:sz="3"/>
            </w:tcBorders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6"/>
                <w:szCs w:val="26"/>
              </w:rPr>
              <w:t xml:space="preserve">3</w:t>
            </w:r>
          </w:p>
          <w:p>
            <w:r>
              <w:rPr>
                <w:rFonts w:ascii="맑은 고딕" w:cs="맑은 고딕" w:eastAsia="맑은 고딕" w:hAnsi="맑은 고딕"/>
                <w:color w:val="5A6E96"/>
                <w:sz w:val="15"/>
                <w:szCs w:val="15"/>
              </w:rPr>
              <w:t xml:space="preserve">비교 모델 수</w:t>
            </w:r>
          </w:p>
        </w:tc>
        <w:tc>
          <w:tcPr>
            <w:tcW w:type="dxa" w:w="2610"/>
            <w:tcBorders>
              <w:top w:val="single" w:color="E3E7EF" w:sz="3"/>
              <w:left w:val="none" w:color="FFFFFF" w:sz="0"/>
              <w:bottom w:val="single" w:color="E3E7EF" w:sz="3"/>
              <w:right w:val="single" w:color="E3E7EF" w:sz="3"/>
            </w:tcBorders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6"/>
                <w:szCs w:val="26"/>
              </w:rPr>
              <w:t xml:space="preserve">0개</w:t>
            </w:r>
          </w:p>
          <w:p>
            <w:r>
              <w:rPr>
                <w:rFonts w:ascii="맑은 고딕" w:cs="맑은 고딕" w:eastAsia="맑은 고딕" w:hAnsi="맑은 고딕"/>
                <w:color w:val="5A6E96"/>
                <w:sz w:val="15"/>
                <w:szCs w:val="15"/>
              </w:rPr>
              <w:t xml:space="preserve">학습에 사용한 정답 라벨 수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02 · 성능 메트릭</w:t>
            </w:r>
          </w:p>
        </w:tc>
      </w:tr>
    </w:tbl>
    <w:p>
      <w:pPr>
        <w:spacing w:after="40" w:before="28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02  </w:t>
      </w:r>
      <w:r>
        <w:rPr>
          <w:rFonts w:ascii="맑은 고딕" w:cs="맑은 고딕" w:eastAsia="맑은 고딕" w:hAnsi="맑은 고딕"/>
          <w:b/>
          <w:bCs/>
          <w:color w:val="16213E"/>
          <w:sz w:val="32"/>
          <w:szCs w:val="32"/>
        </w:rPr>
        <w:t xml:space="preserve">성능 메트릭 — 실루엣 계수(Silhouette Score)</w:t>
      </w:r>
    </w:p>
    <w:p>
      <w:pPr>
        <w:spacing w:after="220"/>
      </w:pPr>
      <w:r>
        <w:rPr>
          <w:rFonts w:ascii="맑은 고딕" w:cs="맑은 고딕" w:eastAsia="맑은 고딕" w:hAnsi="맑은 고딕"/>
          <w:color w:val="5A6E96"/>
          <w:sz w:val="19"/>
          <w:szCs w:val="19"/>
        </w:rPr>
        <w:t xml:space="preserve">정답이 없을 때는 무엇으로 군집화 품질을 판단하는가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98A3E" w:sz="4"/>
              <w:left w:val="single" w:color="C98A3E" w:sz="24"/>
              <w:bottom w:val="single" w:color="C98A3E" w:sz="4"/>
              <w:right w:val="single" w:color="C98A3E" w:sz="4"/>
            </w:tcBorders>
            <w:shd w:fill="F9F5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9"/>
                <w:szCs w:val="19"/>
              </w:rPr>
              <w:t xml:space="preserve">Accuracy를 그대로 쓸 수 없는 이유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color w:val="3A4A70"/>
                <w:sz w:val="18"/>
                <w:szCs w:val="18"/>
              </w:rPr>
              <w:t xml:space="preserve">분류 문제라면 예측 라벨과 정답 라벨을 그대로 비교해 Accuracy를 계산하면 된다. 하지만 군집화는 모델이 매긴 군집 번호(0, 1, 2 ...)가 실제 품종 번호와 애초에 대응 관계가 없다 — 군집 "1번"이 setosa를 가리키는지 virginica를 가리키는지는 순전히 우연이다. 그래서 군집화는 정답 라벨 없이도 계산할 수 있는 자체 지표로 품질을 판단한다.</w:t>
            </w:r>
          </w:p>
        </w:tc>
      </w:tr>
    </w:tbl>
    <w:p>
      <w:pPr>
        <w:spacing w:after="20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2.1 실루엣 계수란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실루엣 계수(Silhouette Score)는 각 표본이 "자기 군집 안에서 얼마나 가까이 뭉쳐 있는지(응집도)"와 "다른 군집과 얼마나 멀리 떨어져 있는지(분리도)"를 함께 반영한 지표다. -1~1 사이의 값을 가지며, 1에 가까울수록 군집이 잘 나뉜 것이고 0에 가까우면 군집 경계가 모호하다는 뜻이다.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from sklearn.metrics import silhouette_score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# 정답 라벨 없이, 피처 데이터와 모델이 매긴 군집 번호만으로 계산한다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score = silhouette_score(iris.data, cluster_labels)</w:t>
            </w:r>
          </w:p>
        </w:tc>
      </w:tr>
    </w:tbl>
    <w:p>
      <w:pPr>
        <w:spacing w:after="16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실루엣 계수는 오직 피처 공간에서의 거리 구조만 보고 계산되며, 실제 정답(target)과는 무관하다. 따라서 실루엣 계수가 가장 높은 모델이 반드시 실제 품종을 가장 잘 맞히는 모델이라는 보장은 없다 — 이 괴리는 §06에서 실제 수치로 확인한다.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02 · 성능 메트릭</w:t>
            </w:r>
          </w:p>
        </w:tc>
      </w:tr>
    </w:tbl>
    <w:p>
      <w:pPr>
        <w:spacing w:after="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2.2 정답(target) 교차 비교 — 참고 지표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6213E" w:sz="4"/>
          <w:left w:val="none" w:color="FFFFFF" w:sz="0"/>
          <w:bottom w:val="single" w:color="C7CED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7440"/>
      </w:tblGrid>
      <w:tr>
        <w:trPr>
          <w:tblHeader/>
        </w:trPr>
        <w:tc>
          <w:tcPr>
            <w:tcW w:type="dxa" w:w="300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744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실루엣 계수(Silhouette)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정답 없이 계산되는 유일한 정량 지표. 군집 내 응집도와 군집 간 분리도를 함께 반영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target 교차 집계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이번 분석처럼 정답이 있을 때만 가능한 사후 검증. 군집 번호와 실제 품종이 얼마나 겹치는지 건수로 확인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노이즈 비율(DBSCAN 전용)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전체 표본 중 어떤 군집에도 속하지 못하고 이상치(-1)로 분류된 비율</w:t>
            </w:r>
          </w:p>
        </w:tc>
      </w:tr>
    </w:tbl>
    <w:p>
      <w:pPr>
        <w:spacing w:after="22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color w:val="3A4A70"/>
                <w:sz w:val="18"/>
                <w:szCs w:val="18"/>
              </w:rPr>
              <w:t xml:space="preserve">실루엣 계수는 세 모델 모두에 동일하게 적용되는 공정한 지표지만, target 교차 집계와 노이즈 비율은 이번 분석에서만 가능한 보조 지표다. §06의 최종 비교표는 이 세 가지를 함께 놓고 판단한다.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03 · 데이터 준비</w:t>
            </w:r>
          </w:p>
        </w:tc>
      </w:tr>
    </w:tbl>
    <w:p>
      <w:pPr>
        <w:spacing w:after="40" w:before="28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03  </w:t>
      </w:r>
      <w:r>
        <w:rPr>
          <w:rFonts w:ascii="맑은 고딕" w:cs="맑은 고딕" w:eastAsia="맑은 고딕" w:hAnsi="맑은 고딕"/>
          <w:b/>
          <w:bCs/>
          <w:color w:val="16213E"/>
          <w:sz w:val="32"/>
          <w:szCs w:val="32"/>
        </w:rPr>
        <w:t xml:space="preserve">데이터 준비</w:t>
      </w:r>
    </w:p>
    <w:p>
      <w:pPr>
        <w:spacing w:after="220"/>
      </w:pPr>
      <w:r>
        <w:rPr>
          <w:rFonts w:ascii="맑은 고딕" w:cs="맑은 고딕" w:eastAsia="맑은 고딕" w:hAnsi="맑은 고딕"/>
          <w:color w:val="5A6E96"/>
          <w:sz w:val="19"/>
          <w:szCs w:val="19"/>
        </w:rPr>
        <w:t xml:space="preserve">Iris는 이미 정제된 데이터라 별도 전처리가 필요 없다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3.1 데이터 로드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Iris 데이터셋은 결측치·이상치가 없는 정제된 벤치마크 데이터라, Santander·신용카드 사례와 달리 별도의 클리닝 단계가 필요 없다. 4개 피처를 원본 스케일 그대로 사용하고, PCA는 §07에서 다루듯 오직 2차원 시각화 목적으로만 사용한다.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 = load_iris()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feature_names = ['sepal_length', 'sepal_width', 'petal_length', 'petal_width']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irisDF = pd.DataFrame(data=iris.data, columns=feature_names)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irisDF['target'] = iris.target  # 사후 비교용으로만 보관, 학습에는 사용하지 않음</w:t>
            </w:r>
          </w:p>
        </w:tc>
      </w:tr>
    </w:tbl>
    <w:p>
      <w:pPr>
        <w:spacing w:after="2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3.2 target 컬럼 분리 보관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target 컬럼은 세 모델의 fit 단계에서는 전혀 참조되지 않는다. iris.data(4개 피처 배열)만 모델에 입력하고, target은 §06에서 groupby로 교차 집계할 때만 사용한다 — 지도학습 리포트의 y_test와 근본적으로 다른 역할이다.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03 · 데이터 준비</w:t>
            </w:r>
          </w:p>
        </w:tc>
      </w:tr>
    </w:tbl>
    <w:p>
      <w:pPr>
        <w:spacing w:after="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color w:val="3A4A70"/>
                <w:sz w:val="18"/>
                <w:szCs w:val="18"/>
              </w:rPr>
              <w:t xml:space="preserve">Santander·신용카드 사례의 3단계 피처 정제나 SMOTE 같은 클래스 불균형 대응은 이번 분석에 등장하지 않는다 — 애초에 균형(각 품종 50건씩)이 잡힌 정제 데이터이고, 군집화는 클래스 불균형이라는 개념 자체가 성립하지 않는 비지도학습이기 때문이다.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04 · 학습 데이터 구성</w:t>
            </w:r>
          </w:p>
        </w:tc>
      </w:tr>
    </w:tbl>
    <w:p>
      <w:pPr>
        <w:spacing w:after="40" w:before="28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04  </w:t>
      </w:r>
      <w:r>
        <w:rPr>
          <w:rFonts w:ascii="맑은 고딕" w:cs="맑은 고딕" w:eastAsia="맑은 고딕" w:hAnsi="맑은 고딕"/>
          <w:b/>
          <w:bCs/>
          <w:color w:val="16213E"/>
          <w:sz w:val="32"/>
          <w:szCs w:val="32"/>
        </w:rPr>
        <w:t xml:space="preserve">학습 데이터 구성</w:t>
      </w:r>
    </w:p>
    <w:p>
      <w:pPr>
        <w:spacing w:after="220"/>
      </w:pPr>
      <w:r>
        <w:rPr>
          <w:rFonts w:ascii="맑은 고딕" w:cs="맑은 고딕" w:eastAsia="맑은 고딕" w:hAnsi="맑은 고딕"/>
          <w:color w:val="5A6E96"/>
          <w:sz w:val="19"/>
          <w:szCs w:val="19"/>
        </w:rPr>
        <w:t xml:space="preserve">지도학습과 달리 Train/Test 분할이 필요 없다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4.1 왜 데이터를 나누지 않는가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지도학습은 학습에 쓰지 않은 데이터로 "얼마나 잘 맞히는지" 검증해야 하므로 반드시 Train/Test를 분리한다. 군집화는애초에 맞혀야 할 정답을 학습에 사용하지 않으므로, 검증용으로 따로 떼어둘 이유가 없다 — 전체 150건을 그대로 학습(비지도학습에서는 fit 자체가 곧 전체 데이터에 대한 군집 배정이다)에 사용한다.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# Train/Test 분할 없이 전체 데이터를 그대로 사용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X = iris.data  # (150, 4) — 세 모델 모두 동일한 입력</w:t>
            </w:r>
          </w:p>
        </w:tc>
      </w:tr>
    </w:tbl>
    <w:p>
      <w:pPr>
        <w:spacing w:after="2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4.2 세 모델 모두 동일한 입력을 사용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K-Means·GMM·DBSCAN 세 모델 모두 스케일링이나 피처 선택 없이 iris.data 4개 컬럼을 그대로 입력받는다. 조건을 완전히 동일하게 맞춰야 실루엣 계수와 target 일치도를 공정하게 비교할 수 있기 때문이다.</w:t>
      </w:r>
    </w:p>
    <w:tbl>
      <w:tblPr>
        <w:tblW w:type="dxa" w:w="10440"/>
        <w:tblBorders>
          <w:top w:val="single" w:color="16213E" w:sz="4"/>
          <w:left w:val="none" w:color="FFFFFF" w:sz="0"/>
          <w:bottom w:val="single" w:color="C7CED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7240"/>
      </w:tblGrid>
      <w:tr>
        <w:trPr>
          <w:tblHeader/>
        </w:trPr>
        <w:tc>
          <w:tcPr>
            <w:tcW w:type="dxa" w:w="320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724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iris.data (150 × 4)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K-Means·GMM·DBSCAN 세 모델 공통 입력 — 학습과 검증이 분리되지 않음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iris.target (150,)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학습에는 사용하지 않고, §06 교차 집계·검증에만 사용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05 · 모델링</w:t>
            </w:r>
          </w:p>
        </w:tc>
      </w:tr>
    </w:tbl>
    <w:p>
      <w:pPr>
        <w:spacing w:after="40" w:before="28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05  </w:t>
      </w:r>
      <w:r>
        <w:rPr>
          <w:rFonts w:ascii="맑은 고딕" w:cs="맑은 고딕" w:eastAsia="맑은 고딕" w:hAnsi="맑은 고딕"/>
          <w:b/>
          <w:bCs/>
          <w:color w:val="16213E"/>
          <w:sz w:val="32"/>
          <w:szCs w:val="32"/>
        </w:rPr>
        <w:t xml:space="preserve">모델링 &amp; 하이퍼파라미터</w:t>
      </w:r>
    </w:p>
    <w:p>
      <w:pPr>
        <w:spacing w:after="220"/>
      </w:pPr>
      <w:r>
        <w:rPr>
          <w:rFonts w:ascii="맑은 고딕" w:cs="맑은 고딕" w:eastAsia="맑은 고딕" w:hAnsi="맑은 고딕"/>
          <w:color w:val="5A6E96"/>
          <w:sz w:val="19"/>
          <w:szCs w:val="19"/>
        </w:rPr>
        <w:t xml:space="preserve">세 알고리즘 모두 동일한 4개 피처, 동일한 군집 수 가정을 기준으로 비교한다</w:t>
      </w: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K-Means와 GMM은 군집 개수(3개)를 미리 지정해야 하는 모델이고, DBSCAN은 군집 개수를 지정하지 않는 대신 밀도 파라미터(eps, min_samples)로 군집을 자동으로 찾는다 — 이 구조적 차이가 §06의 결과 해석에서 중요한 역할을 한다.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5.1 K-Means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군집 개수를 3개로 지정하고, 중심점 초기화는 k-means++, 최대 반복 300회로 설정한다. 각 표본을 가장 가까운 중심점에 할당하는 방식이라, 원형(구형)에 가까운 군집을 잘 찾는다.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kmeans = KMeans(n_clusters=3, init='k-means++', max_iter=300, random_state=0)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kmeans_labels = kmeans.fit_predict(iris.data)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05 · 모델링</w:t>
            </w:r>
          </w:p>
        </w:tc>
      </w:tr>
    </w:tbl>
    <w:p>
      <w:pPr>
        <w:spacing w:after="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5.2 GMM (Gaussian Mixture Model)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데이터가 3개의 가우시안(정규분포) 혼합으로부터 생성됐다고 가정한다. K-Means처럼 하나의 군집에 딱 잘라 배정하는 대신, 각 표본이 어느 분포에 속할 확률이 가장 높은지를 계산해 배정하는 확률적(soft) 군집화 방식이다.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gmm = GaussianMixture(n_components=3, random_state=0)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gmm_labels = gmm.fit(iris.data).predict(iris.data)</w:t>
            </w:r>
          </w:p>
        </w:tc>
      </w:tr>
    </w:tbl>
    <w:p>
      <w:pPr>
        <w:spacing w:after="2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5.3 DBSCAN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반경(eps) 0.6 안에 최소 8개 이상의 이웃 표본이 있어야 하나의 군집으로 인정하는 밀도 기반 알고리즘이다. K-Means·GMM과 달리 군집 개수를 미리 정하지 않으며, 어디에도 속하지 못한 표본은 노이즈(-1)로 남긴다 — 그 결과 실제로 몇 개의 군집이 나올지는 §06에서 확인해야 한다.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dbscan = DBSCAN(eps=0.6, min_samples=8, metric='euclidean')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dbscan_labels = dbscan.fit_predict(iris.data)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06 · 결과 &amp; 결론</w:t>
            </w:r>
          </w:p>
        </w:tc>
      </w:tr>
    </w:tbl>
    <w:p>
      <w:pPr>
        <w:spacing w:after="40" w:before="28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06  </w:t>
      </w:r>
      <w:r>
        <w:rPr>
          <w:rFonts w:ascii="맑은 고딕" w:cs="맑은 고딕" w:eastAsia="맑은 고딕" w:hAnsi="맑은 고딕"/>
          <w:b/>
          <w:bCs/>
          <w:color w:val="16213E"/>
          <w:sz w:val="32"/>
          <w:szCs w:val="32"/>
        </w:rPr>
        <w:t xml:space="preserve">성능 검증 결과</w:t>
      </w:r>
    </w:p>
    <w:p>
      <w:pPr>
        <w:spacing w:after="220"/>
      </w:pPr>
      <w:r>
        <w:rPr>
          <w:rFonts w:ascii="맑은 고딕" w:cs="맑은 고딕" w:eastAsia="맑은 고딕" w:hAnsi="맑은 고딕"/>
          <w:color w:val="5A6E96"/>
          <w:sz w:val="19"/>
          <w:szCs w:val="19"/>
        </w:rPr>
        <w:t xml:space="preserve">3개 모델, 동일 데이터·동일 피처 기준 비교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6.1 실루엣 계수 비교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6213E" w:sz="4"/>
          <w:left w:val="none" w:color="FFFFFF" w:sz="0"/>
          <w:bottom w:val="single" w:color="C7CED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5220"/>
        <w:gridCol w:w="5220"/>
      </w:tblGrid>
      <w:tr>
        <w:trPr>
          <w:tblHeader/>
        </w:trPr>
        <w:tc>
          <w:tcPr>
            <w:tcW w:type="dxa" w:w="522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522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Silhouette Score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3851"/>
                <w:sz w:val="18"/>
                <w:szCs w:val="18"/>
              </w:rPr>
              <w:t xml:space="preserve">K-Means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0.5512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3851"/>
                <w:sz w:val="18"/>
                <w:szCs w:val="18"/>
              </w:rPr>
              <w:t xml:space="preserve">DBSCAN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0.5421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3851"/>
                <w:sz w:val="18"/>
                <w:szCs w:val="18"/>
              </w:rPr>
              <w:t xml:space="preserve">GMM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0.5012</w:t>
            </w:r>
          </w:p>
        </w:tc>
      </w:tr>
    </w:tbl>
    <w:p>
      <w:pPr>
        <w:spacing w:after="22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color w:val="3A4A70"/>
                <w:sz w:val="18"/>
                <w:szCs w:val="18"/>
              </w:rPr>
              <w:t xml:space="preserve">K-Means가 실루엣 계수 1위(0.5512)를 차지했다. K-Means는 애초에 "군집 내 거리를 최소화, 군집 간 거리를 최대화"하는 방식으로 학습하기 때문에, 같은 원리로 계산되는 실루엣 계수에서 유리할 수밖에 없는 구조라는 점을 감안해서 봐야 한다.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06 · 결과 &amp; 결론</w:t>
            </w:r>
          </w:p>
        </w:tc>
      </w:tr>
    </w:tbl>
    <w:p>
      <w:pPr>
        <w:spacing w:after="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6.2 실제 품종(target)과의 교차 비교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6213E" w:sz="4"/>
          <w:left w:val="none" w:color="FFFFFF" w:sz="0"/>
          <w:bottom w:val="single" w:color="C7CEDB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2880"/>
        <w:gridCol w:w="2880"/>
        <w:gridCol w:w="2880"/>
      </w:tblGrid>
      <w:tr>
        <w:trPr>
          <w:tblHeader/>
        </w:trPr>
        <w:tc>
          <w:tcPr>
            <w:tcW w:type="dxa" w:w="180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88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target=0 (setosa)</w:t>
            </w:r>
          </w:p>
        </w:tc>
        <w:tc>
          <w:tcPr>
            <w:tcW w:type="dxa" w:w="288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target=1 (versicolor)</w:t>
            </w:r>
          </w:p>
        </w:tc>
        <w:tc>
          <w:tcPr>
            <w:tcW w:type="dxa" w:w="2880"/>
            <w:shd w:fill="16213E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target=2 (virginica)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K-Means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군집1: 50건(100%)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군집0: 47 / 군집2: 3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군집2: 36 / 군집0: 14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GMM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군집1: 50건(100%)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군집0: 45 / 군집2: 5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군집2: 50건(100%)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DBSCAN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군집0: 49 / 노이즈: 1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군집1: 46 / 노이즈: 4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3E7EF" w:sz="3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3851"/>
                <w:sz w:val="18"/>
                <w:szCs w:val="18"/>
              </w:rPr>
              <w:t xml:space="preserve">군집1: 42 / 노이즈: 8</w:t>
            </w:r>
          </w:p>
        </w:tc>
      </w:tr>
    </w:tbl>
    <w:p>
      <w:pPr>
        <w:spacing w:after="220"/>
      </w:pP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세 모델 모두 setosa(target=0)는 완벽에 가깝게 분리해냈다 — 애초에 다른 두 품종과 피처 공간에서 뚜렷이 떨어져 있기 때문이다. 반면 versicolor(target=1)와 virginica(target=2)는 피처가 서로 겹치는 구간이 있어, 세 모델 모두 이 경계에서 오분류가 발생했다.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6.3 DBSCAN은 애초에 군집을 3개로 나누지 않았다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98A3E" w:sz="4"/>
              <w:left w:val="single" w:color="C98A3E" w:sz="24"/>
              <w:bottom w:val="single" w:color="C98A3E" w:sz="4"/>
              <w:right w:val="single" w:color="C98A3E" w:sz="4"/>
            </w:tcBorders>
            <w:shd w:fill="F9F5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9"/>
                <w:szCs w:val="19"/>
              </w:rPr>
              <w:t xml:space="preserve">군집 개수를 미리 정하지 않는다는 것의 실제 의미</w:t>
            </w:r>
          </w:p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color w:val="3A4A70"/>
                <w:sz w:val="18"/>
                <w:szCs w:val="18"/>
              </w:rPr>
              <w:t xml:space="preserve">DBSCAN은 target=1과 target=2 표본 대부분을 같은 "군집 1"로 묶었다 — eps=0.6 기준에서는 두 품종 사이의 밀도가 하나로 이어져 있다고 판단한 것이다. K-Means·GMM은 "3개로 나누라"는 지시를 따라 억지로 경계를 만들지만, DBSCAN은 데이터의 밀도 구조상 실질적으로 2개의 뭉치(+노이즈)만 존재한다고 있는 그대로 보여준다.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06 · 결과 &amp; 결론</w:t>
            </w:r>
          </w:p>
        </w:tc>
      </w:tr>
    </w:tbl>
    <w:p>
      <w:pPr>
        <w:spacing w:after="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6.4 파이프라인 요약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91"/>
        <w:gridCol w:w="1491"/>
        <w:gridCol w:w="1491"/>
        <w:gridCol w:w="1491"/>
        <w:gridCol w:w="1491"/>
        <w:gridCol w:w="1491"/>
        <w:gridCol w:w="1494"/>
      </w:tblGrid>
      <w:tr>
        <w:tc>
          <w:tcPr>
            <w:tcW w:type="dxa" w:w="1491"/>
            <w:tcBorders>
              <w:top w:val="single" w:color="E3E7EF" w:sz="3"/>
              <w:left w:val="single" w:color="E3E7EF" w:sz="3"/>
              <w:bottom w:val="single" w:color="E3E7EF" w:sz="3"/>
              <w:right w:val="single" w:color="E3E7EF" w:sz="3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① 데이터 로드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E96"/>
                <w:sz w:val="14"/>
                <w:szCs w:val="14"/>
              </w:rPr>
              <w:t xml:space="preserve">(Iris, 150건)</w:t>
            </w:r>
          </w:p>
        </w:tc>
        <w:tc>
          <w:tcPr>
            <w:tcW w:type="dxa" w:w="1491"/>
            <w:tcBorders>
              <w:top w:val="single" w:color="E3E7EF" w:sz="3"/>
              <w:left w:val="none" w:color="FFFFFF" w:sz="0"/>
              <w:bottom w:val="single" w:color="E3E7EF" w:sz="3"/>
              <w:right w:val="single" w:color="E3E7EF" w:sz="3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② K-Means 학습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E96"/>
                <w:sz w:val="14"/>
                <w:szCs w:val="14"/>
              </w:rPr>
              <w:t xml:space="preserve">(n_clusters=3)</w:t>
            </w:r>
          </w:p>
        </w:tc>
        <w:tc>
          <w:tcPr>
            <w:tcW w:type="dxa" w:w="1491"/>
            <w:tcBorders>
              <w:top w:val="single" w:color="E3E7EF" w:sz="3"/>
              <w:left w:val="none" w:color="FFFFFF" w:sz="0"/>
              <w:bottom w:val="single" w:color="E3E7EF" w:sz="3"/>
              <w:right w:val="single" w:color="E3E7EF" w:sz="3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③ GMM 학습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E96"/>
                <w:sz w:val="14"/>
                <w:szCs w:val="14"/>
              </w:rPr>
              <w:t xml:space="preserve">(n_components=3)</w:t>
            </w:r>
          </w:p>
        </w:tc>
        <w:tc>
          <w:tcPr>
            <w:tcW w:type="dxa" w:w="1491"/>
            <w:tcBorders>
              <w:top w:val="single" w:color="E3E7EF" w:sz="3"/>
              <w:left w:val="none" w:color="FFFFFF" w:sz="0"/>
              <w:bottom w:val="single" w:color="E3E7EF" w:sz="3"/>
              <w:right w:val="single" w:color="E3E7EF" w:sz="3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④ DBSCAN 학습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E96"/>
                <w:sz w:val="14"/>
                <w:szCs w:val="14"/>
              </w:rPr>
              <w:t xml:space="preserve">(eps=0.6)</w:t>
            </w:r>
          </w:p>
        </w:tc>
        <w:tc>
          <w:tcPr>
            <w:tcW w:type="dxa" w:w="1491"/>
            <w:tcBorders>
              <w:top w:val="single" w:color="E3E7EF" w:sz="3"/>
              <w:left w:val="none" w:color="FFFFFF" w:sz="0"/>
              <w:bottom w:val="single" w:color="E3E7EF" w:sz="3"/>
              <w:right w:val="single" w:color="E3E7EF" w:sz="3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⑤ target 교차 비교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E96"/>
                <w:sz w:val="14"/>
                <w:szCs w:val="14"/>
              </w:rPr>
              <w:t xml:space="preserve">(사후 검증)</w:t>
            </w:r>
          </w:p>
        </w:tc>
        <w:tc>
          <w:tcPr>
            <w:tcW w:type="dxa" w:w="1491"/>
            <w:tcBorders>
              <w:top w:val="single" w:color="E3E7EF" w:sz="3"/>
              <w:left w:val="none" w:color="FFFFFF" w:sz="0"/>
              <w:bottom w:val="single" w:color="E3E7EF" w:sz="3"/>
              <w:right w:val="single" w:color="E3E7EF" w:sz="3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⑥ 실루엣 계수 계산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E96"/>
                <w:sz w:val="14"/>
                <w:szCs w:val="14"/>
              </w:rPr>
              <w:t xml:space="preserve">(정량 비교)</w:t>
            </w:r>
          </w:p>
        </w:tc>
        <w:tc>
          <w:tcPr>
            <w:tcW w:type="dxa" w:w="1494"/>
            <w:tcBorders>
              <w:top w:val="single" w:color="E3E7EF" w:sz="3"/>
              <w:left w:val="none" w:color="FFFFFF" w:sz="0"/>
              <w:bottom w:val="single" w:color="E3E7EF" w:sz="3"/>
              <w:right w:val="single" w:color="E3E7EF" w:sz="3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⑦ PCA 2D 시각화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A6E96"/>
                <w:sz w:val="14"/>
                <w:szCs w:val="14"/>
              </w:rPr>
              <w:t xml:space="preserve">(3모델 비교)</w:t>
            </w:r>
          </w:p>
        </w:tc>
      </w:tr>
    </w:tbl>
    <w:p>
      <w:pPr>
        <w:spacing w:after="2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10350"/>
      </w:tblGrid>
      <w:tr>
        <w:tc>
          <w:tcPr>
            <w:tcW w:type="dxa" w:w="90"/>
            <w:shd w:fill="C98A3E" w:color="auto" w:val="clear"/>
            <w:tcMar>
              <w:top w:type="dxa" w:w="40"/>
              <w:bottom w:type="dxa" w:w="40"/>
            </w:tcMar>
            <w:vAlign w:val="center"/>
          </w:tcPr>
          <w:p/>
        </w:tc>
        <w:tc>
          <w:tcPr>
            <w:tcW w:type="dxa" w:w="10350"/>
            <w:tcMar>
              <w:top w:type="dxa" w:w="60"/>
              <w:left w:type="dxa" w:w="160"/>
              <w:bottom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23"/>
                <w:szCs w:val="23"/>
              </w:rPr>
              <w:t xml:space="preserve">6.5 결론</w:t>
            </w:r>
          </w:p>
        </w:tc>
      </w:tr>
    </w:tbl>
    <w:p>
      <w:pPr>
        <w:spacing w:after="160"/>
      </w:pPr>
    </w:p>
    <w:p>
      <w:pPr>
        <w:spacing w:after="160" w:line="300"/>
        <w:ind w:left="220" w:hanging="220"/>
      </w:pPr>
      <w:r>
        <w:rPr>
          <w:rFonts w:ascii="맑은 고딕" w:cs="맑은 고딕" w:eastAsia="맑은 고딕" w:hAnsi="맑은 고딕"/>
          <w:b/>
          <w:bCs/>
          <w:color w:val="C98A3E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세 모델 모두 setosa(target=0)는 100%에 가깝게 완벽히 분리했지만, versicolor·virginica(target=1·2)는 피처 공간에서 서로 겹쳐 있어 어떤 모델도 완전히 분리하지 못했다.</w:t>
      </w:r>
    </w:p>
    <w:p>
      <w:pPr>
        <w:spacing w:after="160" w:line="300"/>
        <w:ind w:left="220" w:hanging="220"/>
      </w:pPr>
      <w:r>
        <w:rPr>
          <w:rFonts w:ascii="맑은 고딕" w:cs="맑은 고딕" w:eastAsia="맑은 고딕" w:hAnsi="맑은 고딕"/>
          <w:b/>
          <w:bCs/>
          <w:color w:val="C98A3E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실루엣 계수는 K-Means(0.5512)가 1위였지만, target=2(virginica)를 100% 정확히 맞힌 모델은 GMM이었다 — 실루엣 계수가 가장 높다고 실제 정답과 가장 잘 맞는 모델이라는 보장은 없다는 것을 보여주는 사례다.</w:t>
      </w:r>
    </w:p>
    <w:p>
      <w:pPr>
        <w:spacing w:after="160" w:line="300"/>
        <w:ind w:left="220" w:hanging="220"/>
      </w:pPr>
      <w:r>
        <w:rPr>
          <w:rFonts w:ascii="맑은 고딕" w:cs="맑은 고딕" w:eastAsia="맑은 고딕" w:hAnsi="맑은 고딕"/>
          <w:b/>
          <w:bCs/>
          <w:color w:val="C98A3E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DBSCAN은 3개로 나누라는 지시 자체가 없는 모델이라, target=1과 target=2 표본 대부분을 하나의 군집으로 합쳐 실제로는 2개의 군집(+노이즈)만 찾아냈다 — 데이터의 밀도 구조를 있는 그대로 반영한 결과다.</w:t>
      </w:r>
    </w:p>
    <w:p>
      <w:pPr>
        <w:spacing w:after="160" w:line="300"/>
        <w:ind w:left="220" w:hanging="220"/>
      </w:pPr>
      <w:r>
        <w:rPr>
          <w:rFonts w:ascii="맑은 고딕" w:cs="맑은 고딕" w:eastAsia="맑은 고딕" w:hAnsi="맑은 고딕"/>
          <w:b/>
          <w:bCs/>
          <w:color w:val="C98A3E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DBSCAN은 전체 150건 중 13건(약 8.7%)을 노이즈(-1)로 분류했다. K-Means·GMM에는 없는 개념으로, 애매한 경계에 있는 표본을 억지로 특정 군집에 밀어넣지 않는다는 DBSCAN의 특성을 보여준다.</w:t>
      </w:r>
    </w:p>
    <w:p>
      <w:pPr>
        <w:spacing w:after="160" w:line="300"/>
        <w:ind w:left="220" w:hanging="220"/>
      </w:pPr>
      <w:r>
        <w:rPr>
          <w:rFonts w:ascii="맑은 고딕" w:cs="맑은 고딕" w:eastAsia="맑은 고딕" w:hAnsi="맑은 고딕"/>
          <w:b/>
          <w:bCs/>
          <w:color w:val="C98A3E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군집 개수를 미리 알고 있다면 K-Means나 GMM이, 군집 개수를 모르거나 노이즈를 걸러내야 한다면 DBSCAN이 적합하다 — "어떤 모델이 가장 좋은가"보다 "어떤 상황에 어떤 모델이 맞는가"가 더 중요한 질문이다.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07 · 부록</w:t>
            </w:r>
          </w:p>
        </w:tc>
      </w:tr>
    </w:tbl>
    <w:p>
      <w:pPr>
        <w:spacing w:after="40" w:before="28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07  </w:t>
      </w:r>
      <w:r>
        <w:rPr>
          <w:rFonts w:ascii="맑은 고딕" w:cs="맑은 고딕" w:eastAsia="맑은 고딕" w:hAnsi="맑은 고딕"/>
          <w:b/>
          <w:bCs/>
          <w:color w:val="16213E"/>
          <w:sz w:val="32"/>
          <w:szCs w:val="32"/>
        </w:rPr>
        <w:t xml:space="preserve">부록 — 전체 소스 코드 (Jupyter Notebook)</w:t>
      </w:r>
    </w:p>
    <w:p>
      <w:pPr>
        <w:spacing w:after="220"/>
      </w:pPr>
      <w:r>
        <w:rPr>
          <w:rFonts w:ascii="맑은 고딕" w:cs="맑은 고딕" w:eastAsia="맑은 고딕" w:hAnsi="맑은 고딕"/>
          <w:color w:val="5A6E96"/>
          <w:sz w:val="19"/>
          <w:szCs w:val="19"/>
        </w:rPr>
        <w:t xml:space="preserve">99_3_군집화모델_비교_최종1.ipynb 전체 셀 원문과 실행 결과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color w:val="3A4A70"/>
                <w:sz w:val="18"/>
                <w:szCs w:val="18"/>
              </w:rPr>
              <w:t xml:space="preserve">이 부록은 §01~06에서 다룬 분석의 근거가 된 노트북(99_3_군집화모델_비교_최종1.ipynb)의 전체 코드와 실제 실행 로그를 그대로 수록한 것이다. 코드는 7개 파트로 나뉘어 실행되며, 각 파트 아래의 "실행 결과" 박스는 실제 실행 시 출력된 콘솔 로그를 옮긴 것이다.</w:t>
            </w:r>
          </w:p>
        </w:tc>
      </w:tr>
    </w:tbl>
    <w:p>
      <w:pPr>
        <w:spacing w:after="200"/>
      </w:pP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16213E"/>
          <w:sz w:val="21"/>
          <w:szCs w:val="21"/>
        </w:rPr>
        <w:t xml:space="preserve">7.1 개요 (마크다운 셀)</w:t>
      </w:r>
    </w:p>
    <w:p>
      <w:pPr>
        <w:spacing w:after="200" w:line="300"/>
      </w:pPr>
      <w:r>
        <w:rPr>
          <w:rFonts w:ascii="맑은 고딕" w:cs="맑은 고딕" w:eastAsia="맑은 고딕" w:hAnsi="맑은 고딕"/>
          <w:color w:val="2E3851"/>
          <w:sz w:val="19"/>
          <w:szCs w:val="19"/>
        </w:rPr>
        <w:t xml:space="preserve">군집화 3개 모델 비교 — K-Means · GMM · DBSCAN. Iris(붓꽃) 데이터셋을 동일한 조건으로 K-Means, GMM(Gaussian Mixture Model), DBSCAN 세 가지 군집화 알고리즘에 학습시키고, 실제 품종(target)과의 일치도 및 실루엣 계수(Silhouette Score)로 비교한다.</w:t>
      </w: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16213E"/>
          <w:sz w:val="21"/>
          <w:szCs w:val="21"/>
        </w:rPr>
        <w:t xml:space="preserve">7.2 라이브러리 임포트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from sklearn.datasets import load_iris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from sklearn.cluster import KMeans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from sklearn.mixture import GaussianMixture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from sklearn.cluster import DBSCAN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from sklearn.decomposition import PCA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from sklearn.metrics import silhouette_score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%matplotlib inline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import datetime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# 현재 시각을 'yyyy-mm-dd HH:MI:SS' 형식 문자열로 반환하는 헬퍼 함수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def now_str():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   return datetime.datetime.now().strftime('%Y-%m-%d %H:%M:%S')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EFF6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실행 결과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2026-08-31 11:06:47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07 · 부록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16213E"/>
          <w:sz w:val="21"/>
          <w:szCs w:val="21"/>
        </w:rPr>
        <w:t xml:space="preserve">7.3 파트1 — 데이터 로드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_part1_start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print(f'[파트1. 데이터 로드] 시작 시각: {_part1_start}')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 = load_iris()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feature_names = ['sepal_length', 'sepal_width', 'petal_length', 'petal_width']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irisDF = pd.DataFrame(data=iris.data, columns=feature_names)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irisDF['target'] = iris.target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display(irisDF.head(3))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_part1_end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print(f'[파트1. 데이터 로드] 종료 시각: {_part1_end}')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EFF6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실행 결과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[파트1. 데이터 로드] 시작 시각: 2026-08-31 11:06:47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  sepal_length  sepal_width  petal_length  petal_width  target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0           5.1          3.5           1.4          0.2       0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1           4.9          3.0           1.4          0.2       0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2           4.7          3.2           1.3          0.2       0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[파트1. 데이터 로드] 종료 시각: 2026-08-31 11:06:47</w:t>
            </w:r>
          </w:p>
        </w:tc>
      </w:tr>
    </w:tbl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16213E"/>
          <w:sz w:val="21"/>
          <w:szCs w:val="21"/>
        </w:rPr>
        <w:t xml:space="preserve">7.4 파트2 — K-Means 학습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_part2_start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print(f'[파트2. K-Means 학습] 시작 시각: {_part2_start}')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kmeans = KMeans(n_clusters=3, init='k-means++', max_iter=300, random_state=0)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kmeans_labels = kmeans.fit_predict(iris.data)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irisDF['kmeans_cluster'] = kmeans_labels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_part2_end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print(f'[파트2. K-Means 학습] 종료 시각: {_part2_end}')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EFF6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실행 결과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[파트2. K-Means 학습] 시작 시각: 2026-08-31 11:06:47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[파트2. K-Means 학습] 종료 시각: 2026-08-31 11:06:47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07 · 부록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16213E"/>
          <w:sz w:val="21"/>
          <w:szCs w:val="21"/>
        </w:rPr>
        <w:t xml:space="preserve">7.5 파트3 — GMM 학습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_part3_start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print(f'[파트3. GMM 학습] 시작 시각: {_part3_start}')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gmm = GaussianMixture(n_components=3, random_state=0)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gmm_labels = gmm.fit(iris.data).predict(iris.data)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irisDF['gmm_cluster'] = gmm_labels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_part3_end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print(f'[파트3. GMM 학습] 종료 시각: {_part3_end}')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EFF6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실행 결과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[파트3. GMM 학습] 시작 시각: 2026-08-31 11:06:47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[파트3. GMM 학습] 종료 시각: 2026-08-31 11:06:47</w:t>
            </w:r>
          </w:p>
        </w:tc>
      </w:tr>
    </w:tbl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16213E"/>
          <w:sz w:val="21"/>
          <w:szCs w:val="21"/>
        </w:rPr>
        <w:t xml:space="preserve">7.6 파트4 — DBSCAN 학습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_part4_start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print(f'[파트4. DBSCAN 학습] 시작 시각: {_part4_start}')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dbscan = DBSCAN(eps=0.6, min_samples=8, metric='euclidean')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dbscan_labels = dbscan.fit_predict(iris.data)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irisDF['dbscan_cluster'] = dbscan_labels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_part4_end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print(f'[파트4. DBSCAN 학습] 종료 시각: {_part4_end}')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EFF6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실행 결과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[파트4. DBSCAN 학습] 시작 시각: 2026-08-31 11:06:47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[파트4. DBSCAN 학습] 종료 시각: 2026-08-31 11:06:47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07 · 부록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16213E"/>
          <w:sz w:val="21"/>
          <w:szCs w:val="21"/>
        </w:rPr>
        <w:t xml:space="preserve">7.7 파트5 — target 교차 집계 비교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_part5_start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print(f'[파트5. 교차 집계 비교] 시작 시각: {_part5_start}')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print('### K-Means ###')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print(irisDF.groupby('target')['kmeans_cluster'].value_counts())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print('\n### GMM ###')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print(irisDF.groupby('target')['gmm_cluster'].value_counts())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print('\n### DBSCAN ###')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print(irisDF.groupby('target')['dbscan_cluster'].value_counts())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_part5_end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print(f'\n[파트5. 교차 집계 비교] 종료 시각: {_part5_end}')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EFF6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실행 결과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[파트5. 교차 집계 비교] 시작 시각: 2026-08-31 11:06:47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### K-Means ###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target  kmeans_cluster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0       1                 50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1       0                 47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       2                  3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2       2                 36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       0                 14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### GMM ###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target  gmm_cluster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0       1              50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1       0              45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       2               5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2       2              50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### DBSCAN ###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target  dbscan_cluster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0        0                49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       -1                 1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1        1                46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       -1                 4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2        1                42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       -1                 8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[파트5. 교차 집계 비교] 종료 시각: 2026-08-31 11:06:47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07 · 부록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16213E"/>
          <w:sz w:val="21"/>
          <w:szCs w:val="21"/>
        </w:rPr>
        <w:t xml:space="preserve">7.8 파트6 — 실루엣 계수 계산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_part6_start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print(f'[파트6. 실루엣 계수 계산] 시작 시각: {_part6_start}')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kmeans_silhouette = silhouette_score(iris.data, kmeans_labels)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gmm_silhouette = silhouette_score(iris.data, gmm_labels)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dbscan_silhouette = silhouette_score(iris.data, dbscan_labels)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silhouette_df = pd.DataFrame({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   '모델': ['K-Means', 'GMM', 'DBSCAN'],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   'silhouette_score': [kmeans_silhouette, gmm_silhouette, dbscan_silhouette],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print(silhouette_df.to_string(index=False))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_part6_end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print(f'\n[파트6. 실루엣 계수 계산] 종료 시각: {_part6_end}')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EFF6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실행 결과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[파트6. 실루엣 계수 계산] 시작 시각: 2026-08-31 11:06:47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    모델  silhouette_score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K-Means          0.551192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   GMM          0.501176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DBSCAN          0.542120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[파트6. 실루엣 계수 계산] 종료 시각: 2026-08-31 11:06:47</w:t>
            </w:r>
          </w:p>
        </w:tc>
      </w:tr>
    </w:tbl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16213E"/>
          <w:sz w:val="21"/>
          <w:szCs w:val="21"/>
        </w:rPr>
        <w:t xml:space="preserve">7.9 파트7 — PCA 2차원 시각화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01B33" w:sz="4"/>
              <w:left w:val="single" w:color="101B33" w:sz="4"/>
              <w:bottom w:val="single" w:color="101B33" w:sz="4"/>
              <w:right w:val="single" w:color="101B33" w:sz="4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_part7_start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print(f'[파트7. PCA 2차원 시각화] 시작 시각: {_part7_start}')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pca = PCA(n_components=2, random_state=0)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pca_transformed = pca.fit_transform(iris.data)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irisDF['pca_x'] = pca_transformed[:, 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irisDF['pca_y'] = pca_transformed[:, 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fig, axes = plt.subplots(1, 3, figsize=(15, 4.5))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cluster_cols = [('kmeans_cluster', 'K-Means'), ('gmm_cluster', 'GMM'), ('dbscan_cluster', 'DBSCAN')]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for ax, (col, title) in zip(axes, cluster_cols):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   ax.scatter(irisDF['pca_x'], irisDF['pca_y'], c=irisDF[col], cmap='viridis', edgecolor='k')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   ax.set_title(title)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   ax.set_xlabel('PCA 1')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   ax.set_ylabel('PCA 2')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plt.tight_layout()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_part7_end = now_str()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CE6F5"/>
                <w:sz w:val="17"/>
                <w:szCs w:val="17"/>
              </w:rPr>
              <w:t xml:space="preserve">print(f'[파트7. PCA 2차원 시각화] 종료 시각: {_part7_end}')</w:t>
            </w:r>
          </w:p>
        </w:tc>
      </w:tr>
    </w:tbl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EFF6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실행 결과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[파트7. PCA 2차원 시각화] 시작 시각: 2026-08-31 11:06:47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72"/>
        <w:gridCol w:w="3968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pacing w:val="6"/>
                <w:sz w:val="14"/>
                <w:szCs w:val="14"/>
              </w:rPr>
              <w:t xml:space="preserve">CLUSTERING MODEL COMPARISON · 분석 리포트</w:t>
            </w:r>
          </w:p>
        </w:tc>
        <w:tc>
          <w:tcPr>
            <w:tcW w:type="dxa" w:w="3968"/>
            <w:tcBorders>
              <w:top w:val="none" w:color="FFFFFF" w:sz="0"/>
              <w:left w:val="none" w:color="FFFFFF" w:sz="0"/>
              <w:bottom w:val="single" w:color="C7CEDB" w:sz="4"/>
              <w:right w:val="none" w:color="FFFFFF" w:sz="0"/>
            </w:tcBorders>
            <w:tcMar>
              <w:bottom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4"/>
                <w:szCs w:val="14"/>
              </w:rPr>
              <w:t xml:space="preserve">07 · 부록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drawing>
          <wp:inline distT="0" distB="0" distL="0" distR="0">
            <wp:extent cx="603885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A6E96"/>
          <w:sz w:val="17"/>
          <w:szCs w:val="17"/>
        </w:rPr>
        <w:t xml:space="preserve">K-Means · GMM · DBSCAN — PCA 2차원 군집 결과 비교 (색상 = 각 모델이 매긴 군집 번호)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EFF6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6213E"/>
                <w:sz w:val="16"/>
                <w:szCs w:val="16"/>
              </w:rPr>
              <w:t xml:space="preserve">실행 결과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A4A70"/>
                <w:sz w:val="17"/>
                <w:szCs w:val="17"/>
              </w:rPr>
              <w:t xml:space="preserve">[파트7. PCA 2차원 시각화] 종료 시각: 2026-08-31 11:06:47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5da87248f2b0ca330f34b8ec900f54207753b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Clustering Model Comparison · 3개 모델 비교</dc:title>
  <dc:creator>정찬성</dc:creator>
  <cp:lastModifiedBy>Un-named</cp:lastModifiedBy>
  <cp:revision>1</cp:revision>
  <dcterms:created xsi:type="dcterms:W3CDTF">2026-08-31T02:14:50.218Z</dcterms:created>
  <dcterms:modified xsi:type="dcterms:W3CDTF">2026-08-31T02:14:50.231Z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