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color="auto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1200"/>
            </w:pPr>
          </w:p>
          <w:p>
            <w:pPr>
              <w:spacing w:after="320"/>
            </w:pPr>
            <w:r>
              <w:rPr>
                <w:rFonts w:ascii="맑은 고딕" w:cs="맑은 고딕" w:eastAsia="맑은 고딕" w:hAnsi="맑은 고딕"/>
                <w:b/>
                <w:bCs/>
                <w:color w:val="E3B876"/>
                <w:spacing w:val="20"/>
                <w:sz w:val="20"/>
                <w:szCs w:val="20"/>
              </w:rPr>
              <w:t xml:space="preserve">——  DATA SCIENCE CASE STUDY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6"/>
                <w:szCs w:val="56"/>
              </w:rPr>
              <w:t xml:space="preserve">Credit Card Fraud</w:t>
            </w:r>
          </w:p>
          <w:p>
            <w:pPr>
              <w:spacing w:after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6"/>
                <w:szCs w:val="56"/>
              </w:rPr>
              <w:t xml:space="preserve">Detection · 5개 모델 비교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C7D2E6"/>
                <w:sz w:val="21"/>
                <w:szCs w:val="21"/>
              </w:rPr>
              <w:t xml:space="preserve">신용카드 이상거래(사기) 탐지 이진분류 파이프라인 분석</w:t>
            </w:r>
          </w:p>
          <w:p>
            <w:pPr>
              <w:spacing w:after="420"/>
            </w:pPr>
            <w:r>
              <w:rPr>
                <w:rFonts w:ascii="맑은 고딕" w:cs="맑은 고딕" w:eastAsia="맑은 고딕" w:hAnsi="맑은 고딕"/>
                <w:color w:val="C7D2E6"/>
                <w:sz w:val="21"/>
                <w:szCs w:val="21"/>
              </w:rPr>
              <w:t xml:space="preserve">— SMOTE 오버샘플링 + 임계값 0.04 기준 XGBoost·LogisticRegression·LightGBM·RandomForest·GradientBoost 동일조건 비교</w:t>
            </w:r>
          </w:p>
          <w:p>
            <w:pPr>
              <w:spacing w:after="160"/>
            </w:pPr>
            <w:r>
              <w:rPr>
                <w:color w:val="DCE6F5"/>
                <w:sz w:val="18"/>
                <w:szCs w:val="18"/>
                <w:bdr w:val="single" w:color="5A6E96" w:sz="4" w:space="4"/>
              </w:rPr>
              <w:t xml:space="preserve"> 이진 분류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color="5A6E96" w:sz="4" w:space="4"/>
              </w:rPr>
              <w:t xml:space="preserve"> SMOTE 오버샘플링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color="5A6E96" w:sz="4" w:space="4"/>
              </w:rPr>
              <w:t xml:space="preserve"> 5개 모델 비교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color="5A6E96" w:sz="4" w:space="4"/>
              </w:rPr>
              <w:t xml:space="preserve"> 혼동행렬 분석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color="5A6E96" w:sz="4" w:space="4"/>
              </w:rPr>
              <w:t xml:space="preserve"> 임계값(Threshold) 0.04 </w:t>
            </w:r>
          </w:p>
          <w:p>
            <w:pPr>
              <w:pBdr>
                <w:bottom w:val="single" w:color="3A4A70" w:sz="4"/>
              </w:pBdr>
              <w:spacing w:after="420"/>
            </w:pPr>
          </w:p>
          <w:tbl>
            <w:tblPr>
              <w:tblW w:type="dxa" w:w="963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9"/>
              <w:gridCol w:w="2409"/>
              <w:gridCol w:w="2409"/>
              <w:gridCol w:w="2409"/>
            </w:tblGrid>
            <w:tr>
              <w:tc>
                <w:tcPr>
                  <w:tcW w:type="dxa" w:w="24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13E" w:color="auto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3B876"/>
                      <w:sz w:val="30"/>
                      <w:szCs w:val="30"/>
                    </w:rPr>
                    <w:t xml:space="preserve">284,807</w:t>
                  </w:r>
                </w:p>
                <w:p>
                  <w:pPr>
                    <w:spacing w:before="40"/>
                  </w:pPr>
                  <w:r>
                    <w:rPr>
                      <w:rFonts w:ascii="맑은 고딕" w:cs="맑은 고딕" w:eastAsia="맑은 고딕" w:hAnsi="맑은 고딕"/>
                      <w:color w:val="AAB6CC"/>
                      <w:sz w:val="15"/>
                      <w:szCs w:val="15"/>
                    </w:rPr>
                    <w:t xml:space="preserve">원본 거래 건수</w:t>
                  </w:r>
                </w:p>
              </w:tc>
              <w:tc>
                <w:tcPr>
                  <w:tcW w:type="dxa" w:w="24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13E" w:color="auto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3B876"/>
                      <w:sz w:val="30"/>
                      <w:szCs w:val="30"/>
                    </w:rPr>
                    <w:t xml:space="preserve">29</w:t>
                  </w:r>
                </w:p>
                <w:p>
                  <w:pPr>
                    <w:spacing w:before="40"/>
                  </w:pPr>
                  <w:r>
                    <w:rPr>
                      <w:rFonts w:ascii="맑은 고딕" w:cs="맑은 고딕" w:eastAsia="맑은 고딕" w:hAnsi="맑은 고딕"/>
                      <w:color w:val="AAB6CC"/>
                      <w:sz w:val="15"/>
                      <w:szCs w:val="15"/>
                    </w:rPr>
                    <w:t xml:space="preserve">정제 후 피처 수</w:t>
                  </w:r>
                </w:p>
              </w:tc>
              <w:tc>
                <w:tcPr>
                  <w:tcW w:type="dxa" w:w="24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13E" w:color="auto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3B876"/>
                      <w:sz w:val="30"/>
                      <w:szCs w:val="30"/>
                    </w:rPr>
                    <w:t xml:space="preserve">5</w:t>
                  </w:r>
                </w:p>
                <w:p>
                  <w:pPr>
                    <w:spacing w:before="40"/>
                  </w:pPr>
                  <w:r>
                    <w:rPr>
                      <w:rFonts w:ascii="맑은 고딕" w:cs="맑은 고딕" w:eastAsia="맑은 고딕" w:hAnsi="맑은 고딕"/>
                      <w:color w:val="AAB6CC"/>
                      <w:sz w:val="15"/>
                      <w:szCs w:val="15"/>
                    </w:rPr>
                    <w:t xml:space="preserve">비교 모델 수</w:t>
                  </w:r>
                </w:p>
              </w:tc>
              <w:tc>
                <w:tcPr>
                  <w:tcW w:type="dxa" w:w="24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13E" w:color="auto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3B876"/>
                      <w:sz w:val="30"/>
                      <w:szCs w:val="30"/>
                    </w:rPr>
                    <w:t xml:space="preserve">0.04</w:t>
                  </w:r>
                </w:p>
                <w:p>
                  <w:pPr>
                    <w:spacing w:before="40"/>
                  </w:pPr>
                  <w:r>
                    <w:rPr>
                      <w:rFonts w:ascii="맑은 고딕" w:cs="맑은 고딕" w:eastAsia="맑은 고딕" w:hAnsi="맑은 고딕"/>
                      <w:color w:val="AAB6CC"/>
                      <w:sz w:val="15"/>
                      <w:szCs w:val="15"/>
                    </w:rPr>
                    <w:t xml:space="preserve">분류 임계값</w:t>
                  </w:r>
                </w:p>
              </w:tc>
            </w:tr>
          </w:tbl>
          <w:p>
            <w:pPr>
              <w:spacing w:after="1600"/>
            </w:pPr>
          </w:p>
          <w:p>
            <w:pPr>
              <w:pBdr>
                <w:bottom w:val="single" w:color="3A4A70" w:sz="4"/>
              </w:pBdr>
              <w:spacing w:after="200"/>
            </w:pPr>
          </w:p>
          <w:tbl>
            <w:tblPr>
              <w:tblW w:type="dxa" w:w="963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783"/>
              <w:gridCol w:w="3856"/>
            </w:tblGrid>
            <w:tr>
              <w:tc>
                <w:tcPr>
                  <w:tcW w:type="dxa" w:w="578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맑은 고딕" w:cs="맑은 고딕" w:eastAsia="맑은 고딕" w:hAnsi="맑은 고딕"/>
                      <w:color w:val="9AA5C0"/>
                      <w:sz w:val="16"/>
                      <w:szCs w:val="16"/>
                    </w:rPr>
                    <w:t xml:space="preserve">Kaggle · Credit Card Fraud Detection</w:t>
                  </w:r>
                </w:p>
              </w:tc>
              <w:tc>
                <w:tcPr>
                  <w:tcW w:type="dxa" w:w="38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right"/>
                  </w:pPr>
                  <w:r>
                    <w:rPr>
                      <w:rFonts w:ascii="맑은 고딕" w:cs="맑은 고딕" w:eastAsia="맑은 고딕" w:hAnsi="맑은 고딕"/>
                      <w:color w:val="9AA5C0"/>
                      <w:sz w:val="16"/>
                      <w:szCs w:val="16"/>
                    </w:rPr>
                    <w:t xml:space="preserve">데이터 분석 &amp; 모델링 리포트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01 · 문제 정의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01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프로젝트 개요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문제 정의와 데이터셋의 구조를 파악한다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9FB0CC" w:sz="6"/>
              <w:left w:val="single" w:color="9FB0CC" w:sz="6"/>
              <w:bottom w:val="single" w:color="9FB0CC" w:sz="6"/>
              <w:right w:val="single" w:color="9FB0CC" w:sz="6"/>
            </w:tcBorders>
            <w:shd w:fill="EFF6F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신용카드 거래 데이터(익명화된 PCA 변환 피처 V1~V28, 거래금액 Amount, 거래시각 Time)가 주어졌을 때, 해당 거래가 사기(Class=1)인지를 예측하는 이진 분류(Binary Classification) 문제이다. 목표 변수(Class)가 0/1의 이산값이며, 양성 클래스(사기) 비율이 극히 낮은 불균형(imbalanced) 데이터라는 점이 이번 분석 전체의 설계 방향을 결정한다.</w:t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1.1 데이터 구성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원본 데이터는 캐글(Kaggle) Credit Card Fraud Detection 데이터셋으로, 284,807건의 거래와 31개 컬럼(Time, V1~V28, Amount, Class)으로 구성된 것으로 공개되어 있다. 이 노트북은 Time 컬럼을 제거하고 Amount를 log1p 변환(Amount_Scaled)한 뒤, V1~V28과 함께 총 29개 피처(Amount_Scaled + V1~V28)를 학습에 사용한다.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9"/>
      </w:tblGrid>
      <w:tr>
        <w:tc>
          <w:tcPr>
            <w:tcW w:type="dxa" w:w="241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41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전체 데이터 건수</w:t>
            </w:r>
          </w:p>
        </w:tc>
        <w:tc>
          <w:tcPr>
            <w:tcW w:type="dxa" w:w="722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284,807건 (캐글 공개 데이터셋 사양)</w:t>
            </w:r>
          </w:p>
        </w:tc>
      </w:tr>
      <w:tr>
        <w:tc>
          <w:tcPr>
            <w:tcW w:type="dxa" w:w="241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정제 후 피처 수</w:t>
            </w:r>
          </w:p>
        </w:tc>
        <w:tc>
          <w:tcPr>
            <w:tcW w:type="dxa" w:w="722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29개 (Amount_Scaled + V1~V28)</w:t>
            </w:r>
          </w:p>
        </w:tc>
      </w:tr>
      <w:tr>
        <w:tc>
          <w:tcPr>
            <w:tcW w:type="dxa" w:w="241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피처 특성</w:t>
            </w:r>
          </w:p>
        </w:tc>
        <w:tc>
          <w:tcPr>
            <w:tcW w:type="dxa" w:w="722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V1~V28은 PCA로 변환된 익명 수치형 변수, Amount_Scaled는 거래금액의 log1p 변환값</w:t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1.2 클래스 불균형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Class=1(사기 거래)의 비율은 전체의 약 0.172%(492건)로, 이후 다룰 Santander 사례(약 3.96%)보다도 훨씬 극단적으로 낮다. 이 노트북 자체의 실행 로그에는 정확한 건수가 출력되어 있지 않아, 위 수치는 이 데이터셋에 대해 공개적으로 알려진 사양을 인용한 것이다. 이 극단적 불균형은 §02에서 임계값을 0.5가 아닌 0.04로 낮추는 근거가 된다.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284,807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원본 데이터 행 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29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정제 후 피처 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0.172%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Class=1(사기) 비율 (공개 사양)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492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사기 거래 건수 (공개 사양)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02 · 성능 메트릭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02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성능 메트릭 — 임계값(Threshold)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왜 기본값 0.5가 아닌 0.04를 임계값으로 쓰는가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D9A93B" w:sz="6"/>
              <w:left w:val="single" w:color="D9A93B" w:sz="6"/>
              <w:bottom w:val="single" w:color="D9A93B" w:sz="6"/>
              <w:right w:val="single" w:color="D9A93B" w:sz="6"/>
            </w:tcBorders>
            <w:shd w:fill="F9F5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21"/>
                <w:szCs w:val="21"/>
              </w:rPr>
              <w:t xml:space="preserve">불균형 데이터에서 기본 임계값(0.5)의 함정</w:t>
            </w:r>
          </w:p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Class=1이 0.172%뿐인 데이터에서 임계값을 기본값 0.5로 두면, 모델은 대부분의 거래를 정상(Class=0)으로 판정하는 쪽이 정확도상 유리해진다. 그 결과 정확도는 99% 이상으로 높게 나오지만, 정작 찾아내야 할 사기 거래는 대부분 놓치는 왜곡이 발생한다.</w:t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2.1 이번 분석이 택한 방식 — 고정 임계값 0.04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이 노트북은 제목에 명시된 대로 SMOTE 전처리를 적용한 'Stage5' 단계이며, 임계값 0.04는 이 노트북 자체에서 수식으로 도출된 값이 아니라 이전 단계(Stage1~4, 이 노트북에는 포함되어 있지 않음)의 탐색을 거쳐 고정된 값으로 판단된다. Santander 사례처럼 y_train.mean()과 같은 계산식은 이 노트북에 등장하지 않으며, THRESHOLD = 0.04로 직접 지정한다.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THRESHOLD = 0.04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def evaluate(model, X, y, thr):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proba = model.predict_proba(X)[:, 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pred = Binarizer(threshold=thr).fit_transform(proba.reshape(-1, 1)).ravel()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'accuracy': accuracy_score(y, pred),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'precision': precision_score(y, pred, zero_division=0),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'recall': recall_score(y, pred, zero_division=0),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'f1': f1_score(y, pred, zero_division=0),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'auc': roc_auc_score(y, proba),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}</w:t>
            </w:r>
          </w:p>
        </w:tc>
      </w:tr>
    </w:tbl>
    <w:p>
      <w:pPr>
        <w:spacing w:after="24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Santander 사례가 확률 배열을 직접 비교(proba &gt;= thr)해 이진화했다면, 이 노트북은 sklearn의 Binarizer 클래스를 사용해 동일한 로직을 수행한다는 차이가 있다 — 계산 결과 자체는 동일하다.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02 · 성능 메트릭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2.2 다섯 가지 평가 지표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3"/>
      </w:tblGrid>
      <w:tr>
        <w:tc>
          <w:tcPr>
            <w:tcW w:type="dxa" w:w="2506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7133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506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Accuracy(정확도)</w:t>
            </w:r>
          </w:p>
        </w:tc>
        <w:tc>
          <w:tcPr>
            <w:tcW w:type="dxa" w:w="7133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전체 예측 중 맞힌 비율. 이 데이터처럼 극단적으로 불균형하면 단독으로 신뢰하면 안 됨</w:t>
            </w:r>
          </w:p>
        </w:tc>
      </w:tr>
      <w:tr>
        <w:tc>
          <w:tcPr>
            <w:tcW w:type="dxa" w:w="2506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Precision(정밀도)</w:t>
            </w:r>
          </w:p>
        </w:tc>
        <w:tc>
          <w:tcPr>
            <w:tcW w:type="dxa" w:w="7133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모델이 “사기”라고 예측한 거래 중 실제로 사기인 비율 — 오탐(false alarm)이 얼마나 되는지 보여줌</w:t>
            </w:r>
          </w:p>
        </w:tc>
      </w:tr>
      <w:tr>
        <w:tc>
          <w:tcPr>
            <w:tcW w:type="dxa" w:w="2506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Recall(재현율)</w:t>
            </w:r>
          </w:p>
        </w:tc>
        <w:tc>
          <w:tcPr>
            <w:tcW w:type="dxa" w:w="7133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실제 사기 거래 중 모델이 놓치지 않고 찾아낸 비율</w:t>
            </w:r>
          </w:p>
        </w:tc>
      </w:tr>
      <w:tr>
        <w:tc>
          <w:tcPr>
            <w:tcW w:type="dxa" w:w="2506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F1-score</w:t>
            </w:r>
          </w:p>
        </w:tc>
        <w:tc>
          <w:tcPr>
            <w:tcW w:type="dxa" w:w="7133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정밀도와 재현율을 함께 고려한 종합 지표</w:t>
            </w:r>
          </w:p>
        </w:tc>
      </w:tr>
      <w:tr>
        <w:tc>
          <w:tcPr>
            <w:tcW w:type="dxa" w:w="2506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AUC</w:t>
            </w:r>
          </w:p>
        </w:tc>
        <w:tc>
          <w:tcPr>
            <w:tcW w:type="dxa" w:w="7133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임계값과 무관하게 모델 자체의 판별력을 나타내는 지표. 1에 가까울수록 좋음</w:t>
            </w:r>
          </w:p>
        </w:tc>
      </w:tr>
    </w:tbl>
    <w:p>
      <w:pPr>
        <w:spacing w:after="24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9FB0CC" w:sz="6"/>
              <w:left w:val="single" w:color="9FB0CC" w:sz="6"/>
              <w:bottom w:val="single" w:color="9FB0CC" w:sz="6"/>
              <w:right w:val="single" w:color="9FB0CC" w:sz="6"/>
            </w:tcBorders>
            <w:shd w:fill="EFF6F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이 노트북은 Santander 리포트(4개 지표)와 달리 Precision을 추가로 계산한다 — 사기 비율이 0.172%로 훨씬 극단적이라, “사기로 예측된 거래 중 실제로 몇 %가 진짜 사기인가”라는 정밀도 정보 없이는 모델의 실무 활용 가능성을 판단하기 어렵기 때문이다.</w:t>
            </w:r>
          </w:p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AUC는 임계값을 어떻게 설정하든 값이 바뀌지 않는다 — 확률 예측값 자체의 순위(ranking)로 계산되기 때문이다. 반면 Accuracy·Precision·Recall·F1은 임계값에 따라 값이 달라진다. §06의 결과표에서 5개 모델 모두 같은 임계값(0.04)을 공유해야 서로 공정하게 비교할 수 있다.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03 · 데이터 전처리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03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데이터 전처리 &amp; 클리닝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로그 변환부터 이상치 제거까지 2단계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3.1 Amount 로그 변환 + Time 제거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Amount(거래금액)는 오른쪽 꼬리가 긴(right-skewed) 분포를 가져 그대로 쓰면 일부 고액 거래가 모델 학습을 왜곡할 수 있다. 이를 log1p로 압축한 Amount_Scaled 컬럼을 추가하고, 사기 여부와 직접적인 인과관계가 없는 Time 컬럼은 제거한다.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# Amount는 오른쪽 꼬리가 긴 분포라 log1p로 압축, Time은 사기 여부와 인과관계가 없어 제거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card_df = pd.read_csv('../data/creditcard.csv')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df = card_df.copy()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df.insert(0, 'Amount_Scaled', np.log1p(df['Amount']))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df = df.drop(columns=['Time', 'Amount'])</w:t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3.2 V14 이상치 제거(IQR)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V14는 PCA로 변환된 익명 피처 중 하나로, 사기 거래와의 상관관계가 특히 두드러지는 컬럼으로 알려져 있다. 이 노트북은 사기(Class=1) 표본 내에서만 V14의 IQR(사분위범위) 1.5배를 벗어나는 극단값을 제거한다 — 정상 거래 표본은 건드리지 않는다. 정확한 제거 건수는 이 노트북의 실행 로그에 출력되어 있지 않아 확인할 수 없다.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# 사기(Class=1) 표본 안에서만 V14 이상치를 IQR 1.5배 기준으로 제거(정상 표본은 건드리지 않음)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fraud_v14 = df[df['Class'] == 1]['V14']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q25, q75 = np.percentile(fraud_v14, 25), np.percentile(fraud_v14, 75)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iqr_gap = (q75 - q25) * 1.5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outlier_idx = fraud_v14[(fraud_v14 &lt; q25 - iqr_gap) | (fraud_v14 &gt; q75 + iqr_gap)].index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df = df.drop(index=outlier_idx)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 = df.iloc[:, :-1]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y = df.iloc[:, -1]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839"/>
      </w:tblGrid>
      <w:tr>
        <w:tc>
          <w:tcPr>
            <w:tcW w:type="dxa" w:w="16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3839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16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1단계</w:t>
            </w:r>
          </w:p>
        </w:tc>
        <w:tc>
          <w:tcPr>
            <w:tcW w:type="dxa" w:w="4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Time 컬럼 제거</w:t>
            </w:r>
          </w:p>
        </w:tc>
        <w:tc>
          <w:tcPr>
            <w:tcW w:type="dxa" w:w="3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사기 여부와 인과관계가 없는 식별용 컬럼</w:t>
            </w:r>
          </w:p>
        </w:tc>
      </w:tr>
      <w:tr>
        <w:tc>
          <w:tcPr>
            <w:tcW w:type="dxa" w:w="16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2단계</w:t>
            </w:r>
          </w:p>
        </w:tc>
        <w:tc>
          <w:tcPr>
            <w:tcW w:type="dxa" w:w="4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V14 이상치(IQR 1.5배) 제거</w:t>
            </w:r>
          </w:p>
        </w:tc>
        <w:tc>
          <w:tcPr>
            <w:tcW w:type="dxa" w:w="3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사기(Class=1) 표본 내 극단값만 제거, 정상 표본은 보존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04 · 데이터 분할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04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학습·검증 데이터 구성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Stratified 7:3 분할과 학습 데이터 전용 오버샘플링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4.1 분할 구조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전체 데이터를 사기 비율을 유지한 계층적(Stratified) 방식으로 학습용(70%)과 검증용(X_test, 30%)으로 나눈다. 이후 학습용 데이터에만 SMOTE(Synthetic Minority Over-sampling Technique)를 적용해 정상:사기 비율을 1:1에 가깝게 맞춘다 — 검증 데이터(X_test)는 SMOTE를 적용하지 않아 실제 서비스 환경과 동일한 극단적 불균형 분포를 그대로 유지한다.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# 사기 비율이 0.17%뿐이라 stratify로 분할, SMOTE는 반드시 학습 데이터에만 적용(검증셋은 원본 분포 유지)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X_train, X_test, y_train, y_test = train_test_split(X, y, test_size=0.3, random_state=0, stratify=y)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X_train_over, y_train_over = SMOTE(random_state=0).fit_resample(X_train, y_train)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39"/>
        <w:gridCol w:w="4000"/>
      </w:tblGrid>
      <w:tr>
        <w:tc>
          <w:tcPr>
            <w:tcW w:type="dxa" w:w="24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3239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비율(전체 기준)</w:t>
            </w:r>
          </w:p>
        </w:tc>
        <w:tc>
          <w:tcPr>
            <w:tcW w:type="dxa" w:w="40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X_train_over (SMOTE 적용)</w:t>
            </w:r>
          </w:p>
        </w:tc>
        <w:tc>
          <w:tcPr>
            <w:tcW w:type="dxa" w:w="32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원본 70%를 오버샘플링, 정상:사기 ≈ 1:1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5개 모델 공통 학습</w:t>
            </w:r>
          </w:p>
        </w:tc>
      </w:tr>
      <w:tr>
        <w:tc>
          <w:tcPr>
            <w:tcW w:type="dxa" w:w="24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X_test</w:t>
            </w:r>
          </w:p>
        </w:tc>
        <w:tc>
          <w:tcPr>
            <w:tcW w:type="dxa" w:w="32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원본 30%, 클래스 비율 그대로 유지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5개 모델 공통 최종 성능 검증 (§06 결과표)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04 · 데이터 분할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4.2 SMOTE를 학습 데이터에만 적용하는 이유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만약 SMOTE를 전체 데이터에 적용한 뒤 분할한다면, 검증 데이터(X_test)에 원본 사기 표본을 보간해 만든 인공 표본이 섞여 들어갈 위험이 있다 — 이는 검증 단계에서 모델이 이미 “봤던” 패턴과 매우 유사한 합성 표본으로 채점받는 정답 누출(data leakage)이 된다. 이 노트북은 SMOTE를 train_test_split 이후, 학습 데이터(X_train)에만 적용해 이 문제를 원천적으로 차단한다.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D9A93B" w:sz="6"/>
              <w:left w:val="single" w:color="D9A93B" w:sz="6"/>
              <w:bottom w:val="single" w:color="D9A93B" w:sz="6"/>
              <w:right w:val="single" w:color="D9A93B" w:sz="6"/>
            </w:tcBorders>
            <w:shd w:fill="F9F5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5개 모델 모두 SMOTE로 오버샘플링된 동일한 X_train_over로 학습하고, 원본 분포를 유지한 동일한 X_test·동일한 임계값(0.04)으로 평가받는다 — Santander 사례처럼 모델별로 학습 데이터 구성이 갈리지 않아, §06의 결과표는 다섯 모델이 완전히 동일한 조건에서 비교된 것이다.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05 · 모델링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05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모델링 &amp; 하이퍼파라미터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다섯 가지 알고리즘, SMOTE로 균형 맞춘 동일 데이터 위에서 학습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이번 분석은 Santander 사례(LightGBM 기준 용량 맞춤, HyperOpt 튜닝)와 달리, 별도의 자동 하이퍼파라미터 탐색 과정 없이 각 모델에 수동으로 지정한 값을 사용한다. 트리 계열 4개 모델은 대체로 n_estimators(또는 max_iter) 1,000·학습률 0.05 전후로 유사한 학습 강도를 부여했다.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5.1 XGBoost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xgb_clf = XGBClassifier(n_estimators=1000, max_depth=3, learning_rate=0.05,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                 n_jobs=-1, random_state=156, eval_metric='logloss')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xgb_clf.fit(X_train_over, y_train_over)</w:t>
            </w:r>
          </w:p>
        </w:tc>
      </w:tr>
    </w:tbl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5.2 Logistic Regression — 스케일링 미적용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트리 모델과 달리 선형 모델은 일반적으로 피처 스케일링이 권장되지만, 이 노트북은 별도의 StandardScaler 없이 로지스틱 회귀를 그대로 적용한다. §06에서 확인하듯 이 모델의 정밀도가 다섯 모델 중 가장 낮게 나온 데는 스케일링 생략이 일부 영향을 미쳤을 가능성이 있다 — 다만 이 노트북에 스케일링 적용 여부를 비교한 실험은 없어 단정할 수는 없다.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lr_clf = LogisticRegression(max_iter=1000, random_state=156)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lr_clf.fit(X_train_over, y_train_over)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05 · 모델링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5.3 LightGBM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num_leaves=64로 기본값(31)보다 넓혀 더 복잡한 패턴을 포착할 여지를 뒀다. boost_from_average=False는 원래 극단적으로 불균형한 이진분류에서 초기 예측값의 편향을 막기 위한 옵션인데, 이 노트북은 SMOTE로 학습 데이터를 이미 1:1에 가깝게 맞춘 뒤에도 이 옵션을 유지했다.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lgbm_clf = LGBMClassifier(n_estimators=1000, num_leaves=64, n_jobs=-1,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                   boost_from_average=False, random_state=156, verbose=-1)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lgbm_clf.fit(X_train_over, y_train_over)</w:t>
            </w:r>
          </w:p>
        </w:tc>
      </w:tr>
    </w:tbl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5.4 RandomForest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배깅 계열답게 트리 개수(n_estimators=1000)만 지정하고, 별도의 깊이 제한이나 조기종료 없이 병렬로 학습한다.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rf_clf = RandomForestClassifier(n_estimators=1000, n_jobs=-1, random_state=156)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rf_clf.fit(X_train_over, y_train_over)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05 · 모델링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5.5 GradientBoost — HistGradientBoostingClassifier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D9A93B" w:sz="6"/>
              <w:left w:val="single" w:color="D9A93B" w:sz="6"/>
              <w:bottom w:val="single" w:color="D9A93B" w:sz="6"/>
              <w:right w:val="single" w:color="D9A93B" w:sz="6"/>
            </w:tcBorders>
            <w:shd w:fill="F9F5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이 노트북은 sklearn의 레거시 GradientBoostingClassifier 대신 히스토그램 기반의 HistGradientBoostingClassifier를 사용한다. 노트북 주석에 명시된 대로, 레거시 버전은 단일 코어로 동작하고 히스토그램 최적화가 없어 SMOTE로 대폭 늘어난 학습 데이터(원본 대비 약 2배 규모)에서 비현실적으로 느려지기 때문이다. 같은 그래디언트 부스팅 계열이면서 훨씬 빠른 이 구현체를 채택했다.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gb_clf = HistGradientBoostingClassifier(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max_iter=1000, max_depth=3, learning_rate=0.05,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early_stopping=True, n_iter_no_change=20, validation_fraction=0.1,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random_state=156,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gb_clf.fit(X_train_over, y_train_over)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06 · 결과 &amp; 결론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06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성능 검증 결과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5개 모델, 동일 임계값(0.04) 기준 비교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6.1 최종 비교표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9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839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3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3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3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3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3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13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임계값</w:t>
            </w:r>
          </w:p>
        </w:tc>
      </w:tr>
      <w:tr>
        <w:tc>
          <w:tcPr>
            <w:tcW w:type="dxa" w:w="1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XGBoost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0.9726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0.0544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0.9178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0.1028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0.9848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1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로지스틱 회귀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0.6326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0.0045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0.9726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0.0090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0.9736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1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LightGBM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0.9994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0.8013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0.8562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0.8278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0.9829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1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랜덤포레스트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0.9874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0.1121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0.9247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0.2000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0.9884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0.04</w:t>
            </w:r>
          </w:p>
        </w:tc>
      </w:tr>
      <w:tr>
        <w:tc>
          <w:tcPr>
            <w:tcW w:type="dxa" w:w="1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GradientBoost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0.9735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0.0566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0.9247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0.1066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0.9845</w:t>
            </w:r>
          </w:p>
        </w:tc>
        <w:tc>
          <w:tcPr>
            <w:tcW w:type="dxa" w:w="13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0.04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D9A93B" w:sz="6"/>
              <w:left w:val="single" w:color="D9A93B" w:sz="6"/>
              <w:bottom w:val="single" w:color="D9A93B" w:sz="6"/>
              <w:right w:val="single" w:color="D9A93B" w:sz="6"/>
            </w:tcBorders>
            <w:shd w:fill="F9F5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임계값 0.04를 적용한 결과, 재현율은 다섯 모델 모두 85~97% 구간으로 높게 형성됐다. 다만 정밀도는 모델별로 0.45%(로지스틱 회귀)부터 80.1%(LightGBM)까지 극단적으로 갈렸다 — 같은 재현율 수준이라도 “사기로 예측된 거래를 실제로 얼마나 신뢰할 수 있는가”는 모델마다 완전히 다르다는 것을 보여준다.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06 · 결과 &amp; 결론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6.2 지표별 1위 모델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892"/>
        <w:gridCol w:w="3241"/>
      </w:tblGrid>
      <w:tr>
        <w:tc>
          <w:tcPr>
            <w:tcW w:type="dxa" w:w="2506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892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1위 모델</w:t>
            </w:r>
          </w:p>
        </w:tc>
        <w:tc>
          <w:tcPr>
            <w:tcW w:type="dxa" w:w="3241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506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Accuracy</w:t>
            </w:r>
          </w:p>
        </w:tc>
        <w:tc>
          <w:tcPr>
            <w:tcW w:type="dxa" w:w="3892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LightGBM</w:t>
            </w:r>
          </w:p>
        </w:tc>
        <w:tc>
          <w:tcPr>
            <w:tcW w:type="dxa" w:w="3241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0.9994</w:t>
            </w:r>
          </w:p>
        </w:tc>
      </w:tr>
      <w:tr>
        <w:tc>
          <w:tcPr>
            <w:tcW w:type="dxa" w:w="2506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Precision</w:t>
            </w:r>
          </w:p>
        </w:tc>
        <w:tc>
          <w:tcPr>
            <w:tcW w:type="dxa" w:w="3892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LightGBM</w:t>
            </w:r>
          </w:p>
        </w:tc>
        <w:tc>
          <w:tcPr>
            <w:tcW w:type="dxa" w:w="3241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0.8013</w:t>
            </w:r>
          </w:p>
        </w:tc>
      </w:tr>
      <w:tr>
        <w:tc>
          <w:tcPr>
            <w:tcW w:type="dxa" w:w="2506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Recall</w:t>
            </w:r>
          </w:p>
        </w:tc>
        <w:tc>
          <w:tcPr>
            <w:tcW w:type="dxa" w:w="3892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로지스틱 회귀</w:t>
            </w:r>
          </w:p>
        </w:tc>
        <w:tc>
          <w:tcPr>
            <w:tcW w:type="dxa" w:w="3241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0.9726</w:t>
            </w:r>
          </w:p>
        </w:tc>
      </w:tr>
      <w:tr>
        <w:tc>
          <w:tcPr>
            <w:tcW w:type="dxa" w:w="2506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F1</w:t>
            </w:r>
          </w:p>
        </w:tc>
        <w:tc>
          <w:tcPr>
            <w:tcW w:type="dxa" w:w="3892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LightGBM</w:t>
            </w:r>
          </w:p>
        </w:tc>
        <w:tc>
          <w:tcPr>
            <w:tcW w:type="dxa" w:w="3241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0.8278</w:t>
            </w:r>
          </w:p>
        </w:tc>
      </w:tr>
      <w:tr>
        <w:tc>
          <w:tcPr>
            <w:tcW w:type="dxa" w:w="2506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AUC</w:t>
            </w:r>
          </w:p>
        </w:tc>
        <w:tc>
          <w:tcPr>
            <w:tcW w:type="dxa" w:w="3892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랜덤포레스트</w:t>
            </w:r>
          </w:p>
        </w:tc>
        <w:tc>
          <w:tcPr>
            <w:tcW w:type="dxa" w:w="3241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0.9884</w:t>
            </w:r>
          </w:p>
        </w:tc>
      </w:tr>
    </w:tbl>
    <w:p>
      <w:pPr>
        <w:spacing w:after="200"/>
      </w:pP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LightGBM이 다섯 개 지표 중 세 개(Accuracy·Precision·F1)에서 1위를 차지해 이번 비교에서 가장 균형 잡힌 성능을 보였다. 로지스틱 회귀는 재현율에서 1위(0.9726)였지만, 정밀도는 0.45%에 불과했다 — 이는 사실상 대부분의 거래를 “사기”로 예측했다는 뜻으로, 재현율 하나만 보고 이 모델을 선택하면 실무에서 쓸 수 없는 수준의 오탐(false alarm)을 감수해야 한다. AUC는 랜덤포레스트가 근소하게 1위(0.9884)였으나, XGBoost(0.9848)·GradientBoost(0.9845)·LightGBM(0.9829)과의 차이는 0.006 이내로 판별력 자체의 격차는 크지 않다.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6.3 파이프라인 요약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① 원본 데이터 로드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(284,807건)</w:t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② Amount log1p 변환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+ Time 제거</w:t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③ V14 이상치 제거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(IQR, 사기 표본 한정)</w:t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④ 7:3 분할 + SMOTE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(학습 데이터만)</w:t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⑤ 5개 모델 학습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(동일 X_train_over)</w:t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⑥ 임계값 0.04 적용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/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⑦ 5개 지표 비교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Accuracy·Precision·Recall·F1·AUC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06 · 결과 &amp; 결론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6.4 결론</w:t>
      </w:r>
    </w:p>
    <w:p>
      <w:pPr>
        <w:spacing w:after="160" w:line="300" w:lineRule="auto"/>
        <w:ind w:left="240"/>
      </w:pPr>
      <w:r>
        <w:rPr>
          <w:rFonts w:ascii="맑은 고딕" w:cs="맑은 고딕" w:eastAsia="맑은 고딕" w:hAnsi="맑은 고딕"/>
          <w:b/>
          <w:bCs/>
          <w:color w:val="C98A3E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사기 비율이 0.172%에 불과한 극단적 불균형 데이터에서는, SMOTE로 학습 데이터의 균형을 맞추는 것만으로는 부족했다 — 검증 시 임계값을 0.04까지 낮춘 것이 재현율 확보에 결정적으로 기여했다.</w:t>
      </w:r>
    </w:p>
    <w:p>
      <w:pPr>
        <w:spacing w:after="160" w:line="300" w:lineRule="auto"/>
        <w:ind w:left="240"/>
      </w:pPr>
      <w:r>
        <w:rPr>
          <w:rFonts w:ascii="맑은 고딕" w:cs="맑은 고딕" w:eastAsia="맑은 고딕" w:hAnsi="맑은 고딕"/>
          <w:b/>
          <w:bCs/>
          <w:color w:val="C98A3E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다섯 개 지표 중 세 개(Accuracy·Precision·F1)에서 LightGBM이 1위를 차지해 가장 균형 잡힌 성능을 보였다.</w:t>
      </w:r>
    </w:p>
    <w:p>
      <w:pPr>
        <w:spacing w:after="160" w:line="300" w:lineRule="auto"/>
        <w:ind w:left="240"/>
      </w:pPr>
      <w:r>
        <w:rPr>
          <w:rFonts w:ascii="맑은 고딕" w:cs="맑은 고딕" w:eastAsia="맑은 고딕" w:hAnsi="맑은 고딕"/>
          <w:b/>
          <w:bCs/>
          <w:color w:val="C98A3E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로지스틱 회귀는 재현율(0.9726)이 가장 높았지만 정밀도가 0.45%에 불과해, 재현율 단일 지표만으로 모델을 선택하면 안 된다는 것을 극명하게 보여주는 사례다.</w:t>
      </w:r>
    </w:p>
    <w:p>
      <w:pPr>
        <w:spacing w:after="160" w:line="300" w:lineRule="auto"/>
        <w:ind w:left="240"/>
      </w:pPr>
      <w:r>
        <w:rPr>
          <w:rFonts w:ascii="맑은 고딕" w:cs="맑은 고딕" w:eastAsia="맑은 고딕" w:hAnsi="맑은 고딕"/>
          <w:b/>
          <w:bCs/>
          <w:color w:val="C98A3E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AUC 기준 1위는 랜덤포레스트(0.9884)였지만, 트리 계열 모델 4종 간 AUC 차이는 0.006 이내로 실질적 판별력 격차는 크지 않다.</w:t>
      </w:r>
    </w:p>
    <w:p>
      <w:pPr>
        <w:spacing w:after="160" w:line="300" w:lineRule="auto"/>
        <w:ind w:left="240"/>
      </w:pPr>
      <w:r>
        <w:rPr>
          <w:rFonts w:ascii="맑은 고딕" w:cs="맑은 고딕" w:eastAsia="맑은 고딕" w:hAnsi="맑은 고딕"/>
          <w:b/>
          <w:bCs/>
          <w:color w:val="C98A3E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레거시 GradientBoostingClassifier 대신 히스토그램 기반 HistGradientBoostingClassifier를 사용한 것은, 이 노트북 주석에 명시된 대로 SMOTE로 대폭 늘어난 학습 데이터에서의 속도 문제를 해결하기 위한 실무적 선택이었다.</w:t>
      </w:r>
    </w:p>
    <w:p>
      <w:pPr>
        <w:spacing w:after="160" w:line="300" w:lineRule="auto"/>
        <w:ind w:left="240"/>
      </w:pPr>
      <w:r>
        <w:rPr>
          <w:rFonts w:ascii="맑은 고딕" w:cs="맑은 고딕" w:eastAsia="맑은 고딕" w:hAnsi="맑은 고딕"/>
          <w:b/>
          <w:bCs/>
          <w:color w:val="C98A3E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이 노트북은 로지스틱 회귀에 별도의 피처 스케일링을 적용하지 않았다 — Santander 리포트(StandardScaler 파이프라인 사용)와 다른 처리 방식이며, 로지스틱 회귀의 극단적으로 낮은 정밀도에 스케일 미적용이 일부 영향을 미쳤을 가능성이 있다(다만 원 노트북에 이를 직접 검증하는 비교 실험은 없다).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07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부록 — 전체 소스 코드 (Jupyter Notebook)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99_2_신용카드_사기검출_5모델_최종.ipynb 전체 셀 원문과 실행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9FB0CC" w:sz="6"/>
              <w:left w:val="single" w:color="9FB0CC" w:sz="6"/>
              <w:bottom w:val="single" w:color="9FB0CC" w:sz="6"/>
              <w:right w:val="single" w:color="9FB0CC" w:sz="6"/>
            </w:tcBorders>
            <w:shd w:fill="EFF6F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이 부록은 §01~06에서 다룬 분석의 근거가 된 노트북(99_2_신용카드_사기검출_5모델_최종.ipynb)의 전체 코드와 실제 실행 로그를 그대로 수록한 것이다. 코드 셀은 실행 순서 그대로 배치했으며, 각 코드 아래의 “실행 결과” 박스는 실제 실행 시 출력된 콘솔 로그를 옮긴 것이다.</w:t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7.1 개요 (마크다운 셀)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신용카드 사기검출 — Stage5(SMOTE) + 임계값 0.04, 5개 모델 최종 비교. 담당: 정찬성. log1p(Amount) + V14 이상치(IQR) 제거 + SMOTE(학습데이터만) 전처리 위에서, 분류 임계값을 0.5가 아닌 0.04로 낮췄을 때 5개 모델(XGBoost/LogisticRegression/LightGBM/RandomForest/GradientBoost)의 성능을 비교한다. 이 노트북은 최종 비교표 한 장 + 모델별 그래프 5장만 출력하도록, 중간 진단·단계별 비교표는 모두 제거하고 핵심 파이프라인만 남겼다.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7.2 라이브러리 설치 및 임포트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# 현재 커널 환경에 imbalanced-learn(SMOTE)이 없을 경우를 대비한 설치 셀.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%pip install imbalanced-learn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Collecting imbalanced-learn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Requirement already satisfied: numpy, scipy, scikit-learn, joblib, threadpoolctl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Successfully installed imbalanced-learn-0.14.2 sklearn-compat-0.1.6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import warnings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import datetime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warnings.filterwarnings('ignore')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sklearn.preprocessing import Binarizer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sklearn.linear_model import LogisticRegression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sklearn.ensemble import RandomForestClassifier, HistGradientBoostingClassifier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xgboost import XGBClassifier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lightgbm import LGBMClassifier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imblearn.over_sampling import SMOTE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sklearn.metrics import accuracy_score, precision_score, recall_score, f1_score, roc_auc_score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_start_time = datetime.datetime.now()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print(f'[전체 실행 시작] {_start_time}')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[전체 실행 시작] 2026-08-29 21:25:48.091245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7.3 데이터 로드 및 전처리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print(f'[1. 데이터 로드 + 전처리 시작] {datetime.datetime.now()}')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# Amount는 오른쪽 꼬리가 긴 분포라 log1p로 압축, Time은 사기 여부와 인과관계가 없어 제거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card_df = pd.read_csv('../data/creditcard.csv')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df = card_df.copy()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df.insert(0, 'Amount_Scaled', np.log1p(df['Amount']))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df = df.drop(columns=['Time', 'Amount'])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# 사기(Class=1) 표본 안에서만 V14 이상치를 IQR 1.5배 기준으로 제거(정상 표본은 건드리지 않음)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fraud_v14 = df[df['Class'] == 1]['V14']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q25, q75 = np.percentile(fraud_v14, 25), np.percentile(fraud_v14, 75)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iqr_gap = (q75 - q25) * 1.5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outlier_idx = fraud_v14[(fraud_v14 &lt; q25 - iqr_gap) | (fraud_v14 &gt; q75 + iqr_gap)].index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df = df.drop(index=outlier_idx)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 = df.iloc[:, :-1]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y = df.iloc[:, -1]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[1. 데이터 로드 + 전처리 시작] 2026-08-29 21:25:48.108122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7.4 데이터 분할 + SMOTE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print(f'[2. 학습/검증 분할 + SMOTE 시작] {datetime.datetime.now()}')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# 사기 비율이 0.17%뿐이라 stratify로 분할, SMOTE는 반드시 학습 데이터에만 적용(검증셋은 원본 분포 유지)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X_train, X_test, y_train, y_test = train_test_split(X, y, test_size=0.3, random_state=0, stratify=y)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X_train_over, y_train_over = SMOTE(random_state=0).fit_resample(X_train, y_train)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[2. 학습/검증 분할 + SMOTE 시작] 2026-08-29 21:25:49.915924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7.5 5개 모델 학습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다섯 개 모델을 노트북에 등장한 순서(XGBoost → LogisticRegression → LightGBM → RandomForest → GradientBoost) 그대로 학습한다. 각 모델 학습 직전 타임스탬프를 로그로 남긴다.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print(f'[3. XGBoost 학습 시작] {datetime.datetime.now()}')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xgb_clf = XGBClassifier(n_estimators=1000, max_depth=3, learning_rate=0.05,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                 n_jobs=-1, random_state=156, eval_metric='logloss')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xgb_clf.fit(X_train_over, y_train_over);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[3. XGBoost 학습 시작] 2026-08-29 21:25:52.418582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print(f'[4. LogisticRegression 학습 시작] {datetime.datetime.now()}')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lr_clf = LogisticRegression(max_iter=1000, random_state=156)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lr_clf.fit(X_train_over, y_train_over);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[4. LogisticRegression 학습 시작] 2026-08-29 21:26:14.770957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print(f'[5. LightGBM 학습 시작] {datetime.datetime.now()}')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lgbm_clf = LGBMClassifier(n_estimators=1000, num_leaves=64, n_jobs=-1,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                   boost_from_average=False, random_state=156, verbose=-1)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lgbm_clf.fit(X_train_over, y_train_over);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[5. LightGBM 학습 시작] 2026-08-29 21:26:16.250122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print(f'[6. RandomForest 학습 시작] {datetime.datetime.now()}')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rf_clf = RandomForestClassifier(n_estimators=1000, n_jobs=-1, random_state=156)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rf_clf.fit(X_train_over, y_train_over);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[6. RandomForest 학습 시작] 2026-08-29 21:26:49.299351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print(f'[7. GradientBoost 학습 시작] {datetime.datetime.now()}')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# 레거시 GradientBoostingClassifier는 단일 코어 + 비히스토그램 방식이라 대용량에서 비현실적으로 느려,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# 같은 그래디언트 부스팅 계열이면서 히스토그램 기반으로 훨씬 빠른 HistGradientBoostingClassifier를 쓴다.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gb_clf = HistGradientBoostingClassifier(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max_iter=1000, max_depth=3, learning_rate=0.05,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early_stopping=True, n_iter_no_change=20, validation_fraction=0.1,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random_state=156,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gb_clf.fit(X_train_over, y_train_over);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[7. GradientBoost 학습 시작] 2026-08-29 21:37:16.509229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7.6 임계값 적용 및 최종 평가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print(f'[8. 임계값 0.04 평가 시작] {datetime.datetime.now()}')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THRESHOLD = 0.04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def evaluate(model, X, y, thr):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proba = model.predict_proba(X)[:, 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pred = Binarizer(threshold=thr).fit_transform(proba.reshape(-1, 1)).ravel()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'accuracy': accuracy_score(y, pred),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'precision': precision_score(y, pred, zero_division=0),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'recall': recall_score(y, pred, zero_division=0),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'f1': f1_score(y, pred, zero_division=0),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'auc': roc_auc_score(y, proba),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models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'XGBoost': xgb_clf,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'로지스틱 회귀': lr_clf,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'LightGBM': lgbm_clf,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'랜덤포레스트': rf_clf,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'GradientBoost': gb_clf,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result_df = pd.DataFrame(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[{'모델': name, **evaluate(model, X_test, y_test, THRESHOLD)} for name, model in models.items()]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[8. 임계값 0.04 평가 시작] 2026-08-29 21:37:49.950455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[전체 실행 종료] 2026-08-29 21:37:56.822696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[총 소요시간] 0:12:08.731451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=== Stage 5(SMOTE) + 임계값 0.04 — 5개 모델 비교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           모델  accuracy  precision   recall       f1      auc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      XGBoost  0.972624   0.054449 0.917808 0.102800 0.984773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      로지스틱 회귀  0.632647   0.004504 0.972603 0.008967 0.973641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     LightGBM  0.999391   0.801282 0.856164 0.827815 0.982904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       랜덤포레스트  0.987360   0.112126 0.924658 0.200000 0.988381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GradientBoost  0.973526   0.056580 0.924658 0.106635 0.984490</w:t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7.7 5개 모델 — 정규화 혼동행렬 (마크다운 셀 + 코드 셀)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사기 비율이 0.17%뿐이라 원본 건수로 그리면 정상 거래 칸이 색을 독차지해 사기 탐지 결과가 안 보인다. 행 기준으로 정규화(normalize='true')해 “실제 정상/사기 중 몇 %를 맞혔는지”를 한 번에 보이게 한 것이 가장 단순하고 이해하기 쉬운 형태다.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sklearn.metrics import ConfusionMatrixDisplay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plt.rcParams['font.family'] = 'Malgun Gothic'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plt.rcParams['axes.unicode_minus'] = 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for name, model in models.items():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proba = model.predict_proba(X_test)[:, 1]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pred = Binarizer(threshold=THRESHOLD).fit_transform(proba.reshape(-1, 1)).ravel()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ConfusionMatrixDisplay.from_predictions(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y_test, pred, normalize='true', display_labels=['정상(0)', '사기(1)'], cmap='Blues'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plt.title(name)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plt.show()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jc w:val="center"/>
      </w:pPr>
      <w:r>
        <w:drawing>
          <wp:inline distT="0" distB="0" distL="0" distR="0">
            <wp:extent cx="402336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XGBoost — 정규화 혼동행렬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jc w:val="center"/>
      </w:pPr>
      <w:r>
        <w:drawing>
          <wp:inline distT="0" distB="0" distL="0" distR="0">
            <wp:extent cx="402336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로지스틱 회귀 — 정규화 혼동행렬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jc w:val="center"/>
      </w:pPr>
      <w:r>
        <w:drawing>
          <wp:inline distT="0" distB="0" distL="0" distR="0">
            <wp:extent cx="402336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LightGBM — 정규화 혼동행렬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jc w:val="center"/>
      </w:pPr>
      <w:r>
        <w:drawing>
          <wp:inline distT="0" distB="0" distL="0" distR="0">
            <wp:extent cx="402336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랜덤포레스트 — 정규화 혼동행렬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CREDIT CARD FRAUD DETECTION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jc w:val="center"/>
      </w:pPr>
      <w:r>
        <w:drawing>
          <wp:inline distT="0" distB="0" distL="0" distR="0">
            <wp:extent cx="402336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GradientBoost — 정규화 혼동행렬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0d253c0ab77c0ee588d2f66cef68c0e41a5d2c.png"/><Relationship Id="rId8" Type="http://schemas.openxmlformats.org/officeDocument/2006/relationships/image" Target="media/18feb2e8b646689a25889db2066b5cdec35f5bd2.png"/><Relationship Id="rId9" Type="http://schemas.openxmlformats.org/officeDocument/2006/relationships/image" Target="media/a1ac7c048ede48b3cd57549fee522449cb076460.png"/><Relationship Id="rId10" Type="http://schemas.openxmlformats.org/officeDocument/2006/relationships/image" Target="media/b23b0a643a3e49ec895527b94d3bba277afc9512.png"/><Relationship Id="rId11" Type="http://schemas.openxmlformats.org/officeDocument/2006/relationships/image" Target="media/a7d3a33009f73b0413782adf47f7d423660280e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2026-08-29T16:03:40.430Z</dcterms:created>
  <dcterms:modified xsi:type="dcterms:W3CDTF">2026-08-29T16:03:40.430Z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