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2026-01 • Réalisée le 15 août 2026 • Période couverte : juin – 15 août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Réforme de Qualiopi :</w:t>
      </w:r>
      <w:r>
        <w:t xml:space="preserve"> </w:t>
      </w:r>
      <w:r>
        <w:t xml:space="preserve">le décret n° 2026-728 du 1er août 2026 (JO du 4 août) instaure un nouveau référentiel national qualité à 33 indicateurs, applicable à tous les audits à compter du 1er novembre 2026. Renforcements principaux : lutte contre les allégations trompeuses, transparence des résultats, prévention des violences et discriminations, suivi du distanciel, contrôle des sous-traitants. La mise à niveau du système qualité est à engager dès maintenant.</w:t>
      </w:r>
    </w:p>
    <w:bookmarkEnd w:id="20"/>
    <w:bookmarkStart w:id="33" w:name="X5876ee4bbe0bd103dff81c4f15b870aca873b7a"/>
    <w:p>
      <w:pPr>
        <w:pStyle w:val="Heading2"/>
      </w:pPr>
      <w:r>
        <w:t xml:space="preserve">1. Veille légale et réglementaire (indicateur 23)</w:t>
      </w:r>
    </w:p>
    <w:bookmarkStart w:id="22" w:name="Xdf8c8e335dc6f7a208f40e57c2822e8a79a0258"/>
    <w:p>
      <w:pPr>
        <w:pStyle w:val="Heading3"/>
      </w:pPr>
      <w:r>
        <w:t xml:space="preserve">Nouveau référentiel national qualité Qualiopi — décret n° 2026-728 du 1er août 2026</w:t>
      </w:r>
    </w:p>
    <w:p>
      <w:pPr>
        <w:pStyle w:val="FirstParagraph"/>
      </w:pPr>
      <w:r>
        <w:rPr>
          <w:bCs/>
          <w:b/>
        </w:rPr>
        <w:t xml:space="preserve">01/08/2026 (JO du 04/08/2026)</w:t>
      </w:r>
      <w:r>
        <w:t xml:space="preserve"> </w:t>
      </w:r>
      <w:r>
        <w:t xml:space="preserve">— Légifrance — Journal Officiel</w:t>
      </w:r>
    </w:p>
    <w:p>
      <w:pPr>
        <w:pStyle w:val="BodyText"/>
      </w:pPr>
      <w:r>
        <w:t xml:space="preserve">Le décret remplace le référentiel national qualité issu du décret de 2019 : les 7 critères sont conservés mais le référentiel passe à 33 indicateurs (12 indicateurs révisés, 1 indicateur créé pour les CFA). Principales nouveautés : interdiction des allégations trompeuses (taux de réussite, débouchés, financements), transparence sur le calcul des résultats, procédure obligatoire de prévention des violences (dont VSS), du harcèlement et des discriminations, suivi effectif du distanciel, vérification de la conformité des sous-traitants et intervenants, évaluation des contenus par les apprenants. Entrée en vigueur le 1er novembre 2026 : les audits réalisés à partir de cette date se font sur le nouveau référentiel (l’ancien expire le 31/10/2026).</w:t>
      </w:r>
    </w:p>
    <w:p>
      <w:pPr>
        <w:pStyle w:val="BodyText"/>
      </w:pPr>
      <w:r>
        <w:rPr>
          <w:iCs/>
          <w:i/>
        </w:rPr>
        <w:t xml:space="preserve">Impact pour l’organisme : Majeur. Mettre à jour le système qualité avant le prochain audit : procédure VSS/harcèlement, communication commerciale démontrable, suivi du distanciel et contrôle des sous-traitants. Les auditeurs privilégieront la preuve de mise en œuvre effective sur la production documentaire.</w:t>
      </w:r>
    </w:p>
    <w:p>
      <w:pPr>
        <w:pStyle w:val="BodyText"/>
      </w:pPr>
      <w:r>
        <w:t xml:space="preserve">Source :</w:t>
      </w:r>
      <w:r>
        <w:t xml:space="preserve"> </w:t>
      </w:r>
      <w:hyperlink r:id="rId21">
        <w:r>
          <w:rPr>
            <w:rStyle w:val="Hyperlink"/>
          </w:rPr>
          <w:t xml:space="preserve">https://www.legifrance.gouv.fr/jorf/id/JORFTEXT000054608509</w:t>
        </w:r>
      </w:hyperlink>
    </w:p>
    <w:bookmarkEnd w:id="22"/>
    <w:bookmarkStart w:id="24" w:name="X132667d8a6c8cfe762818d738285dcebc5c273e"/>
    <w:p>
      <w:pPr>
        <w:pStyle w:val="Heading3"/>
      </w:pPr>
      <w:r>
        <w:t xml:space="preserve">Loi n° 2026-534 contre les fraudes sociales et fiscales : contrôles CPF renforcés</w:t>
      </w:r>
    </w:p>
    <w:p>
      <w:pPr>
        <w:pStyle w:val="FirstParagraph"/>
      </w:pPr>
      <w:r>
        <w:rPr>
          <w:bCs/>
          <w:b/>
        </w:rPr>
        <w:t xml:space="preserve">25/06/2026</w:t>
      </w:r>
      <w:r>
        <w:t xml:space="preserve"> </w:t>
      </w:r>
      <w:r>
        <w:t xml:space="preserve">— Légifrance / Centre Inffo</w:t>
      </w:r>
    </w:p>
    <w:p>
      <w:pPr>
        <w:pStyle w:val="BodyText"/>
      </w:pPr>
      <w:r>
        <w:t xml:space="preserve">La loi renforce les prérogatives de la Caisse des Dépôts sur le CPF : accès élargi aux données (greffes, comptes bancaires des prestataires, données carrière), titres exécutoires immédiatement recouvrables en cas de manœuvres frauduleuses, majoration de 10 % pour remboursement tardif d’indus et pénalités pouvant atteindre 50 % en cas de fraude.</w:t>
      </w:r>
    </w:p>
    <w:p>
      <w:pPr>
        <w:pStyle w:val="BodyText"/>
      </w:pPr>
      <w:r>
        <w:rPr>
          <w:iCs/>
          <w:i/>
        </w:rPr>
        <w:t xml:space="preserve">Impact pour l’organisme : Pour un organisme référencé EDOF, risque financier accru en cas d’irrégularité : rigueur renforcée sur l’assiduité, la réalité des prestations et la conformité des dossiers CPF.</w:t>
      </w:r>
    </w:p>
    <w:p>
      <w:pPr>
        <w:pStyle w:val="BodyText"/>
      </w:pPr>
      <w:r>
        <w:t xml:space="preserve">Source :</w:t>
      </w:r>
      <w:r>
        <w:t xml:space="preserve"> </w:t>
      </w:r>
      <w:hyperlink r:id="rId23">
        <w:r>
          <w:rPr>
            <w:rStyle w:val="Hyperlink"/>
          </w:rPr>
          <w:t xml:space="preserve">https://www.legifrance.gouv.fr/jorf/id/JORFTEXT000054309429</w:t>
        </w:r>
      </w:hyperlink>
    </w:p>
    <w:bookmarkEnd w:id="24"/>
    <w:bookmarkStart w:id="26" w:name="X43e1274f4980f67e6c5c353e05ef98a58a6aca5"/>
    <w:p>
      <w:pPr>
        <w:pStyle w:val="Heading3"/>
      </w:pPr>
      <w:r>
        <w:t xml:space="preserve">CPF : vers une validation préalable de chaque mobilisation — appel à concertation</w:t>
      </w:r>
    </w:p>
    <w:p>
      <w:pPr>
        <w:pStyle w:val="FirstParagraph"/>
      </w:pPr>
      <w:r>
        <w:rPr>
          <w:bCs/>
          <w:b/>
        </w:rPr>
        <w:t xml:space="preserve">23/07/2026</w:t>
      </w:r>
      <w:r>
        <w:t xml:space="preserve"> </w:t>
      </w:r>
      <w:r>
        <w:t xml:space="preserve">— Les Acteurs de la Compétence</w:t>
      </w:r>
    </w:p>
    <w:p>
      <w:pPr>
        <w:pStyle w:val="BodyText"/>
      </w:pPr>
      <w:r>
        <w:t xml:space="preserve">Suite à l’annonce gouvernementale d’une validation préalable de chaque mobilisation du CPF, la fédération Les Acteurs de la Compétence demande une concertation, estimant que la mesure modifierait en profondeur la logique du dispositif.</w:t>
      </w:r>
    </w:p>
    <w:p>
      <w:pPr>
        <w:pStyle w:val="BodyText"/>
      </w:pPr>
      <w:r>
        <w:rPr>
          <w:iCs/>
          <w:i/>
        </w:rPr>
        <w:t xml:space="preserve">Impact pour l’organisme : Risque sur les volumes et délais d’inscription CPF à la rentrée : anticiper la communication aux candidats et diversifier les canaux de financement (plan de développement, OPCO).</w:t>
      </w:r>
    </w:p>
    <w:p>
      <w:pPr>
        <w:pStyle w:val="BodyText"/>
      </w:pPr>
      <w:r>
        <w:t xml:space="preserve">Source :</w:t>
      </w:r>
      <w:r>
        <w:t xml:space="preserve"> </w:t>
      </w:r>
      <w:hyperlink r:id="rId25">
        <w:r>
          <w:rPr>
            <w:rStyle w:val="Hyperlink"/>
          </w:rPr>
          <w:t xml:space="preserve">https://lesacteursdelacompetence.fr/communique-cpf-les-acteurs-de-la-competence-appellent-a-une-concertation-sur-lavenir-du-dispositif/</w:t>
        </w:r>
      </w:hyperlink>
    </w:p>
    <w:bookmarkEnd w:id="26"/>
    <w:bookmarkStart w:id="28" w:name="X41e1a581bd569bb4ff59d88534f525a8e0fdf5d"/>
    <w:p>
      <w:pPr>
        <w:pStyle w:val="Heading3"/>
      </w:pPr>
      <w:r>
        <w:t xml:space="preserve">Apprentissage : frais de premier équipement pédagogique — décret n° 2026-679</w:t>
      </w:r>
    </w:p>
    <w:p>
      <w:pPr>
        <w:pStyle w:val="FirstParagraph"/>
      </w:pPr>
      <w:r>
        <w:rPr>
          <w:bCs/>
          <w:b/>
        </w:rPr>
        <w:t xml:space="preserve">27/07/2026 (JO du 29/07/2026)</w:t>
      </w:r>
      <w:r>
        <w:t xml:space="preserve"> </w:t>
      </w:r>
      <w:r>
        <w:t xml:space="preserve">— Légifrance</w:t>
      </w:r>
    </w:p>
    <w:p>
      <w:pPr>
        <w:pStyle w:val="BodyText"/>
      </w:pPr>
      <w:r>
        <w:t xml:space="preserve">La prise en charge OPCO des frais de premier équipement des apprentis est réservée aux certifications de niveau 5 maximum, plafonnée à 500 € (niveaux 3-4) et 300 € (niveau 5) ; demandes à transmettre dans les 12 mois suivant la conclusion du contrat. Applicable aux contrats conclus depuis le 30/07/2026.</w:t>
      </w:r>
    </w:p>
    <w:p>
      <w:pPr>
        <w:pStyle w:val="BodyText"/>
      </w:pPr>
      <w:r>
        <w:rPr>
          <w:iCs/>
          <w:i/>
        </w:rPr>
        <w:t xml:space="preserve">Impact pour l’organisme : Si activité CFA/OFA : réviser les budgets équipement et la procédure de demande OPCO ; les niveaux 6-7 ne sont plus couverts.</w:t>
      </w:r>
    </w:p>
    <w:p>
      <w:pPr>
        <w:pStyle w:val="BodyText"/>
      </w:pPr>
      <w:r>
        <w:t xml:space="preserve">Source :</w:t>
      </w:r>
      <w:r>
        <w:t xml:space="preserve"> </w:t>
      </w:r>
      <w:hyperlink r:id="rId27">
        <w:r>
          <w:rPr>
            <w:rStyle w:val="Hyperlink"/>
          </w:rPr>
          <w:t xml:space="preserve">https://www.legifrance.gouv.fr/jorf/id/JORFTEXT000054541033</w:t>
        </w:r>
      </w:hyperlink>
    </w:p>
    <w:bookmarkEnd w:id="28"/>
    <w:bookmarkStart w:id="30" w:name="X1b41b7d19d9ea14ad75b4fb6997a0695bcd0bfe"/>
    <w:p>
      <w:pPr>
        <w:pStyle w:val="Heading3"/>
      </w:pPr>
      <w:r>
        <w:t xml:space="preserve">NPEC apprentissage : révision générale en cours, délai des branches prolongé au 8 octobre 2026</w:t>
      </w:r>
    </w:p>
    <w:p>
      <w:pPr>
        <w:pStyle w:val="FirstParagraph"/>
      </w:pPr>
      <w:r>
        <w:rPr>
          <w:bCs/>
          <w:b/>
        </w:rPr>
        <w:t xml:space="preserve">09/07/2026 (recommandations modifiées)</w:t>
      </w:r>
      <w:r>
        <w:t xml:space="preserve"> </w:t>
      </w:r>
      <w:r>
        <w:t xml:space="preserve">— France Compétences / Centre Inffo</w:t>
      </w:r>
    </w:p>
    <w:p>
      <w:pPr>
        <w:pStyle w:val="BodyText"/>
      </w:pPr>
      <w:r>
        <w:t xml:space="preserve">France Compétences a lancé en avril 2026 une révision générale des niveaux de prise en charge des contrats d’apprentissage (enveloppe globalement neutre, valeurs ajustées sur les coûts réels, plafond ≈ 11 000 € pour les niveaux 5-7). Des recommandations modifiées publiées le 9 juillet prolongent d’un mois le délai des branches, reporté au 8 octobre 2026 ; publication des NPEC définitifs attendue à l’automne.</w:t>
      </w:r>
    </w:p>
    <w:p>
      <w:pPr>
        <w:pStyle w:val="BodyText"/>
      </w:pPr>
      <w:r>
        <w:rPr>
          <w:iCs/>
          <w:i/>
        </w:rPr>
        <w:t xml:space="preserve">Impact pour l’organisme : Si activité apprentissage : anticiper une possible révision à la baisse des financements pour les certifications au-dessus des coûts observés ; surveiller la publication des NPEC définitifs.</w:t>
      </w:r>
    </w:p>
    <w:p>
      <w:pPr>
        <w:pStyle w:val="BodyText"/>
      </w:pPr>
      <w:r>
        <w:t xml:space="preserve">Source :</w:t>
      </w:r>
      <w:r>
        <w:t xml:space="preserve"> </w:t>
      </w:r>
      <w:hyperlink r:id="rId29">
        <w:r>
          <w:rPr>
            <w:rStyle w:val="Hyperlink"/>
          </w:rPr>
          <w:t xml:space="preserve">https://www.francecompetences.fr/fiche/france-competences-lance-la-revision-generale-des-niveaux-de-prise-en-charge-des-contrats-dapprentissage/</w:t>
        </w:r>
      </w:hyperlink>
    </w:p>
    <w:bookmarkEnd w:id="30"/>
    <w:bookmarkStart w:id="32" w:name="Xa9a550c1b6a077895b9425d1a8bee1e52f65280"/>
    <w:p>
      <w:pPr>
        <w:pStyle w:val="Heading3"/>
      </w:pPr>
      <w:r>
        <w:t xml:space="preserve">Rappels structurants 2026 déjà en vigueur</w:t>
      </w:r>
    </w:p>
    <w:p>
      <w:pPr>
        <w:pStyle w:val="FirstParagraph"/>
      </w:pPr>
      <w:r>
        <w:rPr>
          <w:bCs/>
          <w:b/>
        </w:rPr>
        <w:t xml:space="preserve">1er semestre 2026</w:t>
      </w:r>
      <w:r>
        <w:t xml:space="preserve"> </w:t>
      </w:r>
      <w:r>
        <w:t xml:space="preserve">— Légifrance / Éditions Tissot</w:t>
      </w:r>
    </w:p>
    <w:p>
      <w:pPr>
        <w:pStyle w:val="BodyText"/>
      </w:pPr>
      <w:r>
        <w:t xml:space="preserve">Reste à charge CPF porté à 150 € par formation depuis le 2 avril 2026 (décret n° 2026-234 ; demandeurs d’emploi et abondements employeur exonérés). Aide exceptionnelle aux employeurs d’apprentis (décret n° 2026-168) : jusqu’à 4 500 € (6 000 € pour un apprenti RQTH) pour les contrats conclus jusqu’au 31 décembre 2026. Par ailleurs, Centre Inffo a annoncé mi-juillet l’arrêt de sa publication « Le Quotidien de la formation » dans le cadre d’une procédure de liquidation (information à confirmer).</w:t>
      </w:r>
    </w:p>
    <w:p>
      <w:pPr>
        <w:pStyle w:val="BodyText"/>
      </w:pPr>
      <w:r>
        <w:rPr>
          <w:iCs/>
          <w:i/>
        </w:rPr>
        <w:t xml:space="preserve">Impact pour l’organisme : Informer clairement les candidats du reste à charge CPF (exigence de transparence renforcée) ; fenêtre commerciale apprentissage avant le 31/12/2026 ; adapter les canaux de veille si la disparition du Quotidien de la formation se confirme.</w:t>
      </w:r>
    </w:p>
    <w:p>
      <w:pPr>
        <w:pStyle w:val="BodyText"/>
      </w:pPr>
      <w:r>
        <w:t xml:space="preserve">Source :</w:t>
      </w:r>
      <w:r>
        <w:t xml:space="preserve"> </w:t>
      </w:r>
      <w:hyperlink r:id="rId31">
        <w:r>
          <w:rPr>
            <w:rStyle w:val="Hyperlink"/>
          </w:rPr>
          <w:t xml:space="preserve">https://www.editions-tissot.fr/actualite/droit-du-travail/cpf-le-reste-a-charge-passe-a-150-euros-a-compter-du-2-avril-2026</w:t>
        </w:r>
      </w:hyperlink>
    </w:p>
    <w:bookmarkEnd w:id="32"/>
    <w:bookmarkEnd w:id="33"/>
    <w:bookmarkStart w:id="44" w:name="Xbb6cb3fc6155c3b4882d70d43cd43887fab2960"/>
    <w:p>
      <w:pPr>
        <w:pStyle w:val="Heading2"/>
      </w:pPr>
      <w:r>
        <w:t xml:space="preserve">2. Veille métiers, compétences et certifications (indicateur 23)</w:t>
      </w:r>
    </w:p>
    <w:bookmarkStart w:id="35" w:name="Xa12c9084c3bf44af14a669805db3f79db0749c2"/>
    <w:p>
      <w:pPr>
        <w:pStyle w:val="Heading3"/>
      </w:pPr>
      <w:r>
        <w:t xml:space="preserve">France Compétences : décisions d’enregistrement RNCP / Répertoire Spécifique de l’été</w:t>
      </w:r>
    </w:p>
    <w:p>
      <w:pPr>
        <w:pStyle w:val="FirstParagraph"/>
      </w:pPr>
      <w:r>
        <w:rPr>
          <w:bCs/>
          <w:b/>
        </w:rPr>
        <w:t xml:space="preserve">26/06/2026 et 17/07/2026</w:t>
      </w:r>
      <w:r>
        <w:t xml:space="preserve"> </w:t>
      </w:r>
      <w:r>
        <w:t xml:space="preserve">— France Compétences / Cap Métiers</w:t>
      </w:r>
    </w:p>
    <w:p>
      <w:pPr>
        <w:pStyle w:val="BodyText"/>
      </w:pPr>
      <w:r>
        <w:t xml:space="preserve">Commission du 26 juin : 47 certifications enregistrées au RNCP et 54 au RS, avec une forte présence du numérique de niveau 7 (data science, DevOps, cybersécurité) et de la transition écologique. Commission du 17 juillet : 55 enregistrements RNCP et 28 RS, dont des certifications du champ formation/accompagnement (AFEST, bilan de compétences, conseiller en transition professionnelle).</w:t>
      </w:r>
    </w:p>
    <w:p>
      <w:pPr>
        <w:pStyle w:val="BodyText"/>
      </w:pPr>
      <w:r>
        <w:rPr>
          <w:iCs/>
          <w:i/>
        </w:rPr>
        <w:t xml:space="preserve">Impact pour l’organisme : Vérifier si des certifications visées ou concurrentes ont été enregistrées/renouvelées ; opportunités d’habilitation sur les nouveaux RS du champ formation et accompagnement.</w:t>
      </w:r>
    </w:p>
    <w:p>
      <w:pPr>
        <w:pStyle w:val="BodyText"/>
      </w:pPr>
      <w:r>
        <w:t xml:space="preserve">Source :</w:t>
      </w:r>
      <w:r>
        <w:t xml:space="preserve"> </w:t>
      </w:r>
      <w:hyperlink r:id="rId34">
        <w:r>
          <w:rPr>
            <w:rStyle w:val="Hyperlink"/>
          </w:rPr>
          <w:t xml:space="preserve">https://www.francecompetences.fr/deliberation-de-la-commission-de-la-certification-professionnelle/</w:t>
        </w:r>
      </w:hyperlink>
    </w:p>
    <w:bookmarkEnd w:id="35"/>
    <w:bookmarkStart w:id="37" w:name="X3a8461490116411f72a7d8caff882ef5fd32aef"/>
    <w:p>
      <w:pPr>
        <w:pStyle w:val="Heading3"/>
      </w:pPr>
      <w:r>
        <w:t xml:space="preserve">Métiers émergents : 7e appel à contributions, élargi à de nouveaux acteurs</w:t>
      </w:r>
    </w:p>
    <w:p>
      <w:pPr>
        <w:pStyle w:val="FirstParagraph"/>
      </w:pPr>
      <w:r>
        <w:rPr>
          <w:bCs/>
          <w:b/>
        </w:rPr>
        <w:t xml:space="preserve">10/07/2026</w:t>
      </w:r>
      <w:r>
        <w:t xml:space="preserve"> </w:t>
      </w:r>
      <w:r>
        <w:t xml:space="preserve">— France Compétences</w:t>
      </w:r>
    </w:p>
    <w:p>
      <w:pPr>
        <w:pStyle w:val="BodyText"/>
      </w:pPr>
      <w:r>
        <w:t xml:space="preserve">France Compétences lance son 7e appel à contributions pour actualiser la liste des métiers émergents ou en particulière évolution (MEPE), ouvert aux branches, observatoires, OPCO, OREF et chambres consulaires, avec dépôt au fil de l’eau. Les certifications correspondantes bénéficient d’une procédure d’enregistrement dérogatoire simplifiée au RNCP.</w:t>
      </w:r>
    </w:p>
    <w:p>
      <w:pPr>
        <w:pStyle w:val="BodyText"/>
      </w:pPr>
      <w:r>
        <w:rPr>
          <w:iCs/>
          <w:i/>
        </w:rPr>
        <w:t xml:space="preserve">Impact pour l’organisme : Levier pour positionner une certification sur un métier émergent (IA, transition écologique) via une branche ou un observatoire ; élément de preuve direct pour la veille métiers (indicateur 23).</w:t>
      </w:r>
    </w:p>
    <w:p>
      <w:pPr>
        <w:pStyle w:val="BodyText"/>
      </w:pPr>
      <w:r>
        <w:t xml:space="preserve">Source :</w:t>
      </w:r>
      <w:r>
        <w:t xml:space="preserve"> </w:t>
      </w:r>
      <w:hyperlink r:id="rId36">
        <w:r>
          <w:rPr>
            <w:rStyle w:val="Hyperlink"/>
          </w:rPr>
          <w:t xml:space="preserve">https://www.francecompetences.fr/fiche/metiers-emergents-ou-en-particuliere-evolution-france-competences-elargit-son-7%E1%B5%89-appel-a-contributions/</w:t>
        </w:r>
      </w:hyperlink>
    </w:p>
    <w:bookmarkEnd w:id="37"/>
    <w:bookmarkStart w:id="39" w:name="X7fdff2ccb4fa7bcdd7c7849a70c377dbe5939b1"/>
    <w:p>
      <w:pPr>
        <w:pStyle w:val="Heading3"/>
      </w:pPr>
      <w:r>
        <w:t xml:space="preserve">Enquête nationale auprès des certificateurs et des organismes de formation habilités</w:t>
      </w:r>
    </w:p>
    <w:p>
      <w:pPr>
        <w:pStyle w:val="FirstParagraph"/>
      </w:pPr>
      <w:r>
        <w:rPr>
          <w:bCs/>
          <w:b/>
        </w:rPr>
        <w:t xml:space="preserve">29/07/2026</w:t>
      </w:r>
      <w:r>
        <w:t xml:space="preserve"> </w:t>
      </w:r>
      <w:r>
        <w:t xml:space="preserve">— France Compétences</w:t>
      </w:r>
    </w:p>
    <w:p>
      <w:pPr>
        <w:pStyle w:val="BodyText"/>
      </w:pPr>
      <w:r>
        <w:t xml:space="preserve">France Compétences lance une enquête nationale (consortium Sauléa Conseil–COHDA) sur les pratiques de conception, déploiement et pilotage des certifications RNCP/RS et sur les relations certificateurs-OF. Sans finalité de contrôle ; réponses anonymisées.</w:t>
      </w:r>
    </w:p>
    <w:p>
      <w:pPr>
        <w:pStyle w:val="BodyText"/>
      </w:pPr>
      <w:r>
        <w:rPr>
          <w:iCs/>
          <w:i/>
        </w:rPr>
        <w:t xml:space="preserve">Impact pour l’organisme : Si l’organisme est habilité sur une certification et sollicité : la démarche est officielle ; répondre permet de faire remonter les réalités de terrain.</w:t>
      </w:r>
    </w:p>
    <w:p>
      <w:pPr>
        <w:pStyle w:val="BodyText"/>
      </w:pPr>
      <w:r>
        <w:t xml:space="preserve">Source :</w:t>
      </w:r>
      <w:r>
        <w:t xml:space="preserve"> </w:t>
      </w:r>
      <w:hyperlink r:id="rId38">
        <w:r>
          <w:rPr>
            <w:rStyle w:val="Hyperlink"/>
          </w:rPr>
          <w:t xml:space="preserve">https://www.francecompetences.fr/fiche/enquete-nationale-aupres-des-organismes-certificateurs-et-des-organismes-de-formation-habilites/</w:t>
        </w:r>
      </w:hyperlink>
    </w:p>
    <w:bookmarkEnd w:id="39"/>
    <w:bookmarkStart w:id="41" w:name="X552c617adf8fd8d654895923d7e72117ec090d9"/>
    <w:p>
      <w:pPr>
        <w:pStyle w:val="Heading3"/>
      </w:pPr>
      <w:r>
        <w:t xml:space="preserve">Cartographies des métiers : un outil gratuit pour la veille compétences</w:t>
      </w:r>
    </w:p>
    <w:p>
      <w:pPr>
        <w:pStyle w:val="FirstParagraph"/>
      </w:pPr>
      <w:r>
        <w:rPr>
          <w:bCs/>
          <w:b/>
        </w:rPr>
        <w:t xml:space="preserve">06/07/2026</w:t>
      </w:r>
      <w:r>
        <w:t xml:space="preserve"> </w:t>
      </w:r>
      <w:r>
        <w:t xml:space="preserve">— France Compétences</w:t>
      </w:r>
    </w:p>
    <w:p>
      <w:pPr>
        <w:pStyle w:val="BodyText"/>
      </w:pPr>
      <w:r>
        <w:t xml:space="preserve">Publication pédagogique sur les cartographies des métiers élaborées par les observatoires de branche (fiches métiers, passerelles de mobilité, prospective sur les transitions technologique et écologique), toutes accessibles gratuitement via la « Grande Bibliothèque » de France Compétences.</w:t>
      </w:r>
    </w:p>
    <w:p>
      <w:pPr>
        <w:pStyle w:val="BodyText"/>
      </w:pPr>
      <w:r>
        <w:rPr>
          <w:iCs/>
          <w:i/>
        </w:rPr>
        <w:t xml:space="preserve">Impact pour l’organisme : Source directe et gratuite pour alimenter la veille métiers/compétences exigée par l’indicateur 23 et justifier l’adéquation de l’offre aux besoins des branches.</w:t>
      </w:r>
    </w:p>
    <w:p>
      <w:pPr>
        <w:pStyle w:val="BodyText"/>
      </w:pPr>
      <w:r>
        <w:t xml:space="preserve">Source :</w:t>
      </w:r>
      <w:r>
        <w:t xml:space="preserve"> </w:t>
      </w:r>
      <w:hyperlink r:id="rId40">
        <w:r>
          <w:rPr>
            <w:rStyle w:val="Hyperlink"/>
          </w:rPr>
          <w:t xml:space="preserve">https://www.francecompetences.fr/fiche/cartographie-des-metiers-un-outil-cle-au-service-de-lemploi-et-des-parcours/</w:t>
        </w:r>
      </w:hyperlink>
    </w:p>
    <w:bookmarkEnd w:id="41"/>
    <w:bookmarkStart w:id="43" w:name="X407498a15f4fd8500135524cc411e4b611587d2"/>
    <w:p>
      <w:pPr>
        <w:pStyle w:val="Heading3"/>
      </w:pPr>
      <w:r>
        <w:t xml:space="preserve">Insertion des apprentis et emploi des seniors : deux publications à noter</w:t>
      </w:r>
    </w:p>
    <w:p>
      <w:pPr>
        <w:pStyle w:val="FirstParagraph"/>
      </w:pPr>
      <w:r>
        <w:rPr>
          <w:bCs/>
          <w:b/>
        </w:rPr>
        <w:t xml:space="preserve">juin-juillet 2026</w:t>
      </w:r>
      <w:r>
        <w:t xml:space="preserve"> </w:t>
      </w:r>
      <w:r>
        <w:t xml:space="preserve">— DARES (via Centre Inffo) / Haut-commissariat à la Stratégie et au Plan</w:t>
      </w:r>
    </w:p>
    <w:p>
      <w:pPr>
        <w:pStyle w:val="BodyText"/>
      </w:pPr>
      <w:r>
        <w:t xml:space="preserve">La DARES a publié en juin une étude sur l’insertion professionnelle des apprentis (CAP à BTS) deux ans après leur sortie d’études en 2023. Le Haut-commissariat à la Stratégie et au Plan a publié le 22 juillet un rapport sur l’emploi des seniors jusqu’à la retraite (axe compétences/métiers).</w:t>
      </w:r>
    </w:p>
    <w:p>
      <w:pPr>
        <w:pStyle w:val="BodyText"/>
      </w:pPr>
      <w:r>
        <w:rPr>
          <w:iCs/>
          <w:i/>
        </w:rPr>
        <w:t xml:space="preserve">Impact pour l’organisme : Données d’insertion mobilisables pour argumenter la valeur des formations ; signal de politique publique sur la formation des seniors (reconversion, VAE, fins de carrière).</w:t>
      </w:r>
    </w:p>
    <w:p>
      <w:pPr>
        <w:pStyle w:val="BodyText"/>
      </w:pPr>
      <w:r>
        <w:t xml:space="preserve">Source :</w:t>
      </w:r>
      <w:r>
        <w:t xml:space="preserve"> </w:t>
      </w:r>
      <w:hyperlink r:id="rId42">
        <w:r>
          <w:rPr>
            <w:rStyle w:val="Hyperlink"/>
          </w:rPr>
          <w:t xml:space="preserve">https://www.strategie-plan.gouv.fr/publications</w:t>
        </w:r>
      </w:hyperlink>
    </w:p>
    <w:bookmarkEnd w:id="43"/>
    <w:bookmarkEnd w:id="44"/>
    <w:bookmarkStart w:id="53" w:name="X406fcec4051a43c8b194b898d8715cc68458b80"/>
    <w:p>
      <w:pPr>
        <w:pStyle w:val="Heading2"/>
      </w:pPr>
      <w:r>
        <w:t xml:space="preserve">3. Veille sur les innovations pédagogiques et technologiques (indicateurs 24-25)</w:t>
      </w:r>
    </w:p>
    <w:bookmarkStart w:id="46" w:name="X85f83358038ccd89e91ebb7c31957acb9ff1a15"/>
    <w:p>
      <w:pPr>
        <w:pStyle w:val="Heading3"/>
      </w:pPr>
      <w:r>
        <w:t xml:space="preserve">AI Act : la formation professionnelle classée « haut risque » — échéance du 2 août 2026 passée</w:t>
      </w:r>
    </w:p>
    <w:p>
      <w:pPr>
        <w:pStyle w:val="FirstParagraph"/>
      </w:pPr>
      <w:r>
        <w:rPr>
          <w:bCs/>
          <w:b/>
        </w:rPr>
        <w:t xml:space="preserve">échéance 02/08/2026</w:t>
      </w:r>
      <w:r>
        <w:t xml:space="preserve"> </w:t>
      </w:r>
      <w:r>
        <w:t xml:space="preserve">— Règlement européen sur l’IA / Dumetier.org</w:t>
      </w:r>
    </w:p>
    <w:p>
      <w:pPr>
        <w:pStyle w:val="BodyText"/>
      </w:pPr>
      <w:r>
        <w:t xml:space="preserve">Le règlement européen sur l’IA classe l’éducation et la formation parmi les domaines à haut risque : les organismes de formation sont responsables en tant que « déployeurs » de solutions IA utilisées pour l’évaluation des apprenants, l’orientation des parcours ou la surveillance d’examens. Les dispositions relatives aux systèmes à haut risque sont applicables depuis le 2 août 2026.</w:t>
      </w:r>
    </w:p>
    <w:p>
      <w:pPr>
        <w:pStyle w:val="BodyText"/>
      </w:pPr>
      <w:r>
        <w:rPr>
          <w:iCs/>
          <w:i/>
        </w:rPr>
        <w:t xml:space="preserve">Impact pour l’organisme : Cartographier les usages IA de l’organisme (positionnement, évaluation, surveillance) et documenter leur conformité ; sujet à intégrer à la veille légale et aux pratiques pédagogiques (indicateurs 23-25).</w:t>
      </w:r>
    </w:p>
    <w:p>
      <w:pPr>
        <w:pStyle w:val="BodyText"/>
      </w:pPr>
      <w:r>
        <w:t xml:space="preserve">Source :</w:t>
      </w:r>
      <w:r>
        <w:t xml:space="preserve"> </w:t>
      </w:r>
      <w:hyperlink r:id="rId45">
        <w:r>
          <w:rPr>
            <w:rStyle w:val="Hyperlink"/>
          </w:rPr>
          <w:t xml:space="preserve">https://dumetier.org/publications/ai-act-obligations-et-enjeux-pour-la-formation-pro</w:t>
        </w:r>
      </w:hyperlink>
    </w:p>
    <w:bookmarkEnd w:id="46"/>
    <w:bookmarkStart w:id="48" w:name="Xe5541ab1b11d0d378500430aad8997b13287426"/>
    <w:p>
      <w:pPr>
        <w:pStyle w:val="Heading3"/>
      </w:pPr>
      <w:r>
        <w:t xml:space="preserve">Technologies de formation 2026 : l’IA largement adoptée, la preuve de valeur devient l’enjeu</w:t>
      </w:r>
    </w:p>
    <w:p>
      <w:pPr>
        <w:pStyle w:val="FirstParagraph"/>
      </w:pPr>
      <w:r>
        <w:rPr>
          <w:bCs/>
          <w:b/>
        </w:rPr>
        <w:t xml:space="preserve">16/07/2026</w:t>
      </w:r>
      <w:r>
        <w:t xml:space="preserve"> </w:t>
      </w:r>
      <w:r>
        <w:t xml:space="preserve">— Centre Inffo (étude State of Learning Technologies 2026)</w:t>
      </w:r>
    </w:p>
    <w:p>
      <w:pPr>
        <w:pStyle w:val="BodyText"/>
      </w:pPr>
      <w:r>
        <w:t xml:space="preserve">IA, LMS et analytics sont désormais largement déployés dans les dispositifs de formation ; l’enjeu 2026 n’est plus l’adoption mais la démonstration concrète de l’impact sur les compétences et la performance.</w:t>
      </w:r>
    </w:p>
    <w:p>
      <w:pPr>
        <w:pStyle w:val="BodyText"/>
      </w:pPr>
      <w:r>
        <w:rPr>
          <w:iCs/>
          <w:i/>
        </w:rPr>
        <w:t xml:space="preserve">Impact pour l’organisme : Converge avec l’exigence Qualiopi de mesure des résultats : outiller l’évaluation d’impact (avant/après, transfert en poste) devient un différenciateur face aux financeurs.</w:t>
      </w:r>
    </w:p>
    <w:p>
      <w:pPr>
        <w:pStyle w:val="BodyText"/>
      </w:pPr>
      <w:r>
        <w:t xml:space="preserve">Source :</w:t>
      </w:r>
      <w:r>
        <w:t xml:space="preserve"> </w:t>
      </w:r>
      <w:hyperlink r:id="rId47">
        <w:r>
          <w:rPr>
            <w:rStyle w:val="Hyperlink"/>
          </w:rPr>
          <w:t xml:space="preserve">https://www.centre-inffo.fr/site-centre-inffo/lexpresso/technologies-de-formation-2026-lia-progresse-mais-la-preuve-de-valeur-devient-le-vrai-enjeu</w:t>
        </w:r>
      </w:hyperlink>
    </w:p>
    <w:bookmarkEnd w:id="48"/>
    <w:bookmarkStart w:id="50" w:name="X7161cffaab0ad5f4bfffee1579f0f78d6361ab1"/>
    <w:p>
      <w:pPr>
        <w:pStyle w:val="Heading3"/>
      </w:pPr>
      <w:r>
        <w:t xml:space="preserve">Baromètres 2026 : IA et digital learning — repères chiffrés</w:t>
      </w:r>
    </w:p>
    <w:p>
      <w:pPr>
        <w:pStyle w:val="FirstParagraph"/>
      </w:pPr>
      <w:r>
        <w:rPr>
          <w:bCs/>
          <w:b/>
        </w:rPr>
        <w:t xml:space="preserve">1er semestre 2026 (infographie ISTF du 02/07/2026)</w:t>
      </w:r>
      <w:r>
        <w:t xml:space="preserve"> </w:t>
      </w:r>
      <w:r>
        <w:t xml:space="preserve">— ISTF / Parlons RH / Lefebvre Dalloz</w:t>
      </w:r>
    </w:p>
    <w:p>
      <w:pPr>
        <w:pStyle w:val="BodyText"/>
      </w:pPr>
      <w:r>
        <w:t xml:space="preserve">Baromètre ISTF (400 professionnels) : généralisation de la multimodalité, montée du micro-learning et de l’apprentissage dans le flux de travail. Baromètre IA &amp; RH 2026 : 85 à 99 % des RH anticipent une transformation des métiers par l’IA, mais les formations restent souvent superficielles. Baromètre Lefebvre Dalloz : 51 % des professionnels utilisent l’IA (25 % en 2025), mais 54 % n’ont reçu aucune formation et 10 % seulement sont formés aux enjeux réglementaires.</w:t>
      </w:r>
    </w:p>
    <w:p>
      <w:pPr>
        <w:pStyle w:val="BodyText"/>
      </w:pPr>
      <w:r>
        <w:rPr>
          <w:iCs/>
          <w:i/>
        </w:rPr>
        <w:t xml:space="preserve">Impact pour l’organisme : Marché confirmé pour des offres IA dépassant la sensibilisation (cas d’usage métiers, conformité AI Act, quasi absente du marché) ; repères de benchmark pour l’offre multimodale.</w:t>
      </w:r>
    </w:p>
    <w:p>
      <w:pPr>
        <w:pStyle w:val="BodyText"/>
      </w:pPr>
      <w:r>
        <w:t xml:space="preserve">Source :</w:t>
      </w:r>
      <w:r>
        <w:t xml:space="preserve"> </w:t>
      </w:r>
      <w:hyperlink r:id="rId49">
        <w:r>
          <w:rPr>
            <w:rStyle w:val="Hyperlink"/>
          </w:rPr>
          <w:t xml:space="preserve">https://www.istf-formation.fr/blog/infographie-les-chiffres-2026-du-digital-learning/</w:t>
        </w:r>
      </w:hyperlink>
    </w:p>
    <w:bookmarkEnd w:id="50"/>
    <w:bookmarkStart w:id="52" w:name="X16adc88896d3bc45cf79e51a64ebfbbb6d2763d"/>
    <w:p>
      <w:pPr>
        <w:pStyle w:val="Heading3"/>
      </w:pPr>
      <w:r>
        <w:t xml:space="preserve">Lettre de l’innovation en formation n°54 : évaluation des acquis à l’ère de l’IA générative</w:t>
      </w:r>
    </w:p>
    <w:p>
      <w:pPr>
        <w:pStyle w:val="FirstParagraph"/>
      </w:pPr>
      <w:r>
        <w:rPr>
          <w:bCs/>
          <w:b/>
        </w:rPr>
        <w:t xml:space="preserve">09/07/2026</w:t>
      </w:r>
      <w:r>
        <w:t xml:space="preserve"> </w:t>
      </w:r>
      <w:r>
        <w:t xml:space="preserve">— Centre Inffo</w:t>
      </w:r>
    </w:p>
    <w:p>
      <w:pPr>
        <w:pStyle w:val="BodyText"/>
      </w:pPr>
      <w:r>
        <w:t xml:space="preserve">La 54e Lettre de l’innovation propose une sélection d’ouvrages récents sur IA et formation et traite notamment de l’évaluation en contexte d’IA générative (risque de contournement des évaluations par les apprenants).</w:t>
      </w:r>
    </w:p>
    <w:p>
      <w:pPr>
        <w:pStyle w:val="BodyText"/>
      </w:pPr>
      <w:r>
        <w:rPr>
          <w:iCs/>
          <w:i/>
        </w:rPr>
        <w:t xml:space="preserve">Impact pour l’organisme : Matière pour le plan de professionnalisation des formateurs (indicateurs 21-22) et pour réviser les modalités d’évaluation des acquis.</w:t>
      </w:r>
    </w:p>
    <w:p>
      <w:pPr>
        <w:pStyle w:val="BodyText"/>
      </w:pPr>
      <w:r>
        <w:t xml:space="preserve">Source :</w:t>
      </w:r>
      <w:r>
        <w:t xml:space="preserve"> </w:t>
      </w:r>
      <w:hyperlink r:id="rId51">
        <w:r>
          <w:rPr>
            <w:rStyle w:val="Hyperlink"/>
          </w:rPr>
          <w:t xml:space="preserve">https://www.centre-inffo.fr/innovation-formation/articles/edito-innovation-juillet-aout-2026-lectures-ia-sur-papier</w:t>
        </w:r>
      </w:hyperlink>
    </w:p>
    <w:bookmarkEnd w:id="52"/>
    <w:bookmarkEnd w:id="53"/>
    <w:bookmarkStart w:id="64" w:name="X3f0859653963368d38d74fba3081e07a4da06c8"/>
    <w:p>
      <w:pPr>
        <w:pStyle w:val="Heading2"/>
      </w:pPr>
      <w:r>
        <w:t xml:space="preserve">4. Veille handicap et accessibilité (indicateur 26)</w:t>
      </w:r>
    </w:p>
    <w:bookmarkStart w:id="55" w:name="Xc73690033257f4330e3904ac2835a5df7cfd5f8"/>
    <w:p>
      <w:pPr>
        <w:pStyle w:val="Heading3"/>
      </w:pPr>
      <w:r>
        <w:t xml:space="preserve">Agefiph : appel à innovation 2026 doté de 2 M€ — prochaine fenêtre le 1er septembre</w:t>
      </w:r>
    </w:p>
    <w:p>
      <w:pPr>
        <w:pStyle w:val="FirstParagraph"/>
      </w:pPr>
      <w:r>
        <w:rPr>
          <w:bCs/>
          <w:b/>
        </w:rPr>
        <w:t xml:space="preserve">20/05/2026</w:t>
      </w:r>
      <w:r>
        <w:t xml:space="preserve"> </w:t>
      </w:r>
      <w:r>
        <w:t xml:space="preserve">— Agefiph</w:t>
      </w:r>
    </w:p>
    <w:p>
      <w:pPr>
        <w:pStyle w:val="BodyText"/>
      </w:pPr>
      <w:r>
        <w:t xml:space="preserve">L’Agefiph consacre 2 M€ en 2026 à son appel à innovation permanent (axe innovation/expérimentation 2025-2027), candidatures au fil de l’eau via la plateforme Handinnov, sélections au 1er mars, 1er juin et 1er septembre. Parmi les lauréats 2026 : un projet de réalité virtuelle immersive avec mentorat pour apprenants.</w:t>
      </w:r>
    </w:p>
    <w:p>
      <w:pPr>
        <w:pStyle w:val="BodyText"/>
      </w:pPr>
      <w:r>
        <w:rPr>
          <w:iCs/>
          <w:i/>
        </w:rPr>
        <w:t xml:space="preserve">Impact pour l’organisme : Possibilité de financer une expérimentation pédagogique inclusive ; prochaine fenêtre de sélection le 1er septembre 2026.</w:t>
      </w:r>
    </w:p>
    <w:p>
      <w:pPr>
        <w:pStyle w:val="BodyText"/>
      </w:pPr>
      <w:r>
        <w:t xml:space="preserve">Source :</w:t>
      </w:r>
      <w:r>
        <w:t xml:space="preserve"> </w:t>
      </w:r>
      <w:hyperlink r:id="rId54">
        <w:r>
          <w:rPr>
            <w:rStyle w:val="Hyperlink"/>
          </w:rPr>
          <w:t xml:space="preserve">https://www.agefiph.fr/actualites-handicap/appel-innovation-2026-de-lagefiph-budget-de-2-millions-deuros</w:t>
        </w:r>
      </w:hyperlink>
    </w:p>
    <w:bookmarkEnd w:id="55"/>
    <w:bookmarkStart w:id="57" w:name="Xc96526a83b3dd4995e8de1bb3acfcc9b62d6043"/>
    <w:p>
      <w:pPr>
        <w:pStyle w:val="Heading3"/>
      </w:pPr>
      <w:r>
        <w:t xml:space="preserve">Accessibilité des formations : parcours d’autoformation gratuit et solutions Agefiph</w:t>
      </w:r>
    </w:p>
    <w:p>
      <w:pPr>
        <w:pStyle w:val="FirstParagraph"/>
      </w:pPr>
      <w:r>
        <w:rPr>
          <w:bCs/>
          <w:b/>
        </w:rPr>
        <w:t xml:space="preserve">28/04/2026 et 19/05/2026</w:t>
      </w:r>
      <w:r>
        <w:t xml:space="preserve"> </w:t>
      </w:r>
      <w:r>
        <w:t xml:space="preserve">— Agefiph</w:t>
      </w:r>
    </w:p>
    <w:p>
      <w:pPr>
        <w:pStyle w:val="BodyText"/>
      </w:pPr>
      <w:r>
        <w:t xml:space="preserve">L’Agefiph a mis en ligne un parcours complet d’autoformation gratuit (5 modules, 2h10) sur l’accessibilité des formations, destiné aux OF, CFA et organismes de bilan de compétences (obligations légales, structuration de la démarche, adaptation des parcours), et récapitule ses solutions : accompagnement Ressource Handicap Formation (RHF), guide sur l’accessibilité des formations immersives (VR/AR).</w:t>
      </w:r>
    </w:p>
    <w:p>
      <w:pPr>
        <w:pStyle w:val="BodyText"/>
      </w:pPr>
      <w:r>
        <w:rPr>
          <w:iCs/>
          <w:i/>
        </w:rPr>
        <w:t xml:space="preserve">Impact pour l’organisme : Faire suivre le parcours au référent handicap et aux formateurs : l’attestation de suivi constitue une preuve directe pour l’indicateur 26.</w:t>
      </w:r>
    </w:p>
    <w:p>
      <w:pPr>
        <w:pStyle w:val="BodyText"/>
      </w:pPr>
      <w:r>
        <w:t xml:space="preserve">Source :</w:t>
      </w:r>
      <w:r>
        <w:t xml:space="preserve"> </w:t>
      </w:r>
      <w:hyperlink r:id="rId56">
        <w:r>
          <w:rPr>
            <w:rStyle w:val="Hyperlink"/>
          </w:rPr>
          <w:t xml:space="preserve">https://www.agefiph.fr/actualites-handicap/appui-la-professionnalisation-le-parcours-complet-sur-laccessibilite-des</w:t>
        </w:r>
      </w:hyperlink>
    </w:p>
    <w:bookmarkEnd w:id="57"/>
    <w:bookmarkStart w:id="59" w:name="Xf8c608d68d5dad0fb59a575eebb5dbe13a480f4"/>
    <w:p>
      <w:pPr>
        <w:pStyle w:val="Heading3"/>
      </w:pPr>
      <w:r>
        <w:t xml:space="preserve">Rapport d’activité 2025 de l’Agefiph : des marges de progrès sur la formation des personnes handicapées</w:t>
      </w:r>
    </w:p>
    <w:p>
      <w:pPr>
        <w:pStyle w:val="FirstParagraph"/>
      </w:pPr>
      <w:r>
        <w:rPr>
          <w:bCs/>
          <w:b/>
        </w:rPr>
        <w:t xml:space="preserve">19-22/05/2026</w:t>
      </w:r>
      <w:r>
        <w:t xml:space="preserve"> </w:t>
      </w:r>
      <w:r>
        <w:t xml:space="preserve">— Agefiph / Centre Inffo</w:t>
      </w:r>
    </w:p>
    <w:p>
      <w:pPr>
        <w:pStyle w:val="BodyText"/>
      </w:pPr>
      <w:r>
        <w:t xml:space="preserve">Le rapport d’activité 2025 montre un taux d’activité des personnes handicapées toujours très inférieur à la moyenne et un niveau de qualification plus faible : 22 % des stagiaires handicapés suivent des formations aux savoirs de base (8 points de plus que la population active générale) ; 783 000 entrées en formation en 2024.</w:t>
      </w:r>
    </w:p>
    <w:p>
      <w:pPr>
        <w:pStyle w:val="BodyText"/>
      </w:pPr>
      <w:r>
        <w:rPr>
          <w:iCs/>
          <w:i/>
        </w:rPr>
        <w:t xml:space="preserve">Impact pour l’organisme : Données chiffrées pour alimenter le diagnostic accessibilité et le plan de progrès (indicateur 26), et argumenter des offres adaptées aux premiers niveaux de qualification.</w:t>
      </w:r>
    </w:p>
    <w:p>
      <w:pPr>
        <w:pStyle w:val="BodyText"/>
      </w:pPr>
      <w:r>
        <w:t xml:space="preserve">Source :</w:t>
      </w:r>
      <w:r>
        <w:t xml:space="preserve"> </w:t>
      </w:r>
      <w:hyperlink r:id="rId58">
        <w:r>
          <w:rPr>
            <w:rStyle w:val="Hyperlink"/>
          </w:rPr>
          <w:t xml:space="preserve">https://www.centre-inffo.fr/site-centre-inffo/actualites-centre-inffo/le-quotidien-de-la-formation-actualite-formation-professionnelle-apprentissage/actualites-2026/handicap-encore-de-belles-marges-de-progres</w:t>
        </w:r>
      </w:hyperlink>
    </w:p>
    <w:bookmarkEnd w:id="59"/>
    <w:bookmarkStart w:id="61" w:name="X5ec59a76c7b4212acefa2c36e4372e7a0744c9b"/>
    <w:p>
      <w:pPr>
        <w:pStyle w:val="Heading3"/>
      </w:pPr>
      <w:r>
        <w:t xml:space="preserve">Accessibilité numérique : obligations applicables aux OF depuis juin 2025 (rappel)</w:t>
      </w:r>
    </w:p>
    <w:p>
      <w:pPr>
        <w:pStyle w:val="FirstParagraph"/>
      </w:pPr>
      <w:r>
        <w:rPr>
          <w:bCs/>
          <w:b/>
        </w:rPr>
        <w:t xml:space="preserve">en vigueur depuis le 28/06/2025</w:t>
      </w:r>
      <w:r>
        <w:t xml:space="preserve"> </w:t>
      </w:r>
      <w:r>
        <w:t xml:space="preserve">— Digiformag (analyse du 03/03/2026)</w:t>
      </w:r>
    </w:p>
    <w:p>
      <w:pPr>
        <w:pStyle w:val="BodyText"/>
      </w:pPr>
      <w:r>
        <w:t xml:space="preserve">L’European Accessibility Act s’applique aux OF de plus de 10 salariés et 2 M€ de CA proposant des services numériques (site, plateforme e-learning) : conformité RGAA, déclaration d’accessibilité, mention en page d’accueil. Sanctions possibles jusqu’à 50 000 €. Aucune évolution réglementaire nouvelle repérée entre mai et août 2026 sur ce sujet.</w:t>
      </w:r>
    </w:p>
    <w:p>
      <w:pPr>
        <w:pStyle w:val="BodyText"/>
      </w:pPr>
      <w:r>
        <w:rPr>
          <w:iCs/>
          <w:i/>
        </w:rPr>
        <w:t xml:space="preserve">Impact pour l’organisme : Auditer le site et la plateforme LMS, publier la déclaration d’accessibilité et articuler cette conformité avec l’indicateur 26.</w:t>
      </w:r>
    </w:p>
    <w:p>
      <w:pPr>
        <w:pStyle w:val="BodyText"/>
      </w:pPr>
      <w:r>
        <w:t xml:space="preserve">Source :</w:t>
      </w:r>
      <w:r>
        <w:t xml:space="preserve"> </w:t>
      </w:r>
      <w:hyperlink r:id="rId60">
        <w:r>
          <w:rPr>
            <w:rStyle w:val="Hyperlink"/>
          </w:rPr>
          <w:t xml:space="preserve">https://www.digiformag.com/accessibilite-numerique-ce-que-la-directive-europeenne-change-vraiment-pour-les-organismes-de-formation/</w:t>
        </w:r>
      </w:hyperlink>
    </w:p>
    <w:bookmarkEnd w:id="61"/>
    <w:bookmarkStart w:id="63" w:name="X36f83439527538b58b6b5f21af5098e8febac8c"/>
    <w:p>
      <w:pPr>
        <w:pStyle w:val="Heading3"/>
      </w:pPr>
      <w:r>
        <w:t xml:space="preserve">FIPHFP : 20 ans, cap « Ambition 2030 » et taux d’emploi de 6,36 % dans la fonction publique</w:t>
      </w:r>
    </w:p>
    <w:p>
      <w:pPr>
        <w:pStyle w:val="FirstParagraph"/>
      </w:pPr>
      <w:r>
        <w:rPr>
          <w:bCs/>
          <w:b/>
        </w:rPr>
        <w:t xml:space="preserve">06/07/2026</w:t>
      </w:r>
      <w:r>
        <w:t xml:space="preserve"> </w:t>
      </w:r>
      <w:r>
        <w:t xml:space="preserve">— FIPHFP</w:t>
      </w:r>
    </w:p>
    <w:p>
      <w:pPr>
        <w:pStyle w:val="BodyText"/>
      </w:pPr>
      <w:r>
        <w:t xml:space="preserve">Le taux d’emploi de travailleurs handicapés dans la fonction publique dépasse pour la première fois le seuil légal de 6 % (6,36 %). Feuille de route « Ambition 2030 » : accessibilité des environnements de travail, conventions employeurs simplifiées. Webinaires nationaux et régionaux ouverts (dont accessibilité numérique).</w:t>
      </w:r>
    </w:p>
    <w:p>
      <w:pPr>
        <w:pStyle w:val="BodyText"/>
      </w:pPr>
      <w:r>
        <w:rPr>
          <w:iCs/>
          <w:i/>
        </w:rPr>
        <w:t xml:space="preserve">Impact pour l’organisme : Si l’organisme forme des agents publics : financements FIPHFP maintenus, webinaires gratuits mobilisables pour la montée en compétence du référent handicap.</w:t>
      </w:r>
    </w:p>
    <w:p>
      <w:pPr>
        <w:pStyle w:val="BodyText"/>
      </w:pPr>
      <w:r>
        <w:t xml:space="preserve">Source :</w:t>
      </w:r>
      <w:r>
        <w:t xml:space="preserve"> </w:t>
      </w:r>
      <w:hyperlink r:id="rId62">
        <w:r>
          <w:rPr>
            <w:rStyle w:val="Hyperlink"/>
          </w:rPr>
          <w:t xml:space="preserve">https://www.fiphfp.fr/actualites-et-evenements/actualites/20-ans-du-fiphfp-une-nouvelle-etape-pour-une-fonction-publique-toujours-plus-inclusive</w:t>
        </w:r>
      </w:hyperlink>
    </w:p>
    <w:bookmarkEnd w:id="63"/>
    <w:bookmarkEnd w:id="64"/>
    <w:bookmarkStart w:id="65"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t xml:space="preserve">1er sept. 2026</w:t>
            </w:r>
          </w:p>
        </w:tc>
        <w:tc>
          <w:tcPr/>
          <w:p>
            <w:pPr>
              <w:pStyle w:val="Compact"/>
              <w:jc w:val="left"/>
            </w:pPr>
            <w:r>
              <w:t xml:space="preserve">Fenêtre de sélection de l’appel à innovation Agefiph (Handinnov)</w:t>
            </w:r>
          </w:p>
        </w:tc>
      </w:tr>
      <w:tr>
        <w:tc>
          <w:tcPr/>
          <w:p>
            <w:pPr>
              <w:pStyle w:val="Compact"/>
              <w:jc w:val="left"/>
            </w:pPr>
            <w:r>
              <w:t xml:space="preserve">8 oct. 2026</w:t>
            </w:r>
          </w:p>
        </w:tc>
        <w:tc>
          <w:tcPr/>
          <w:p>
            <w:pPr>
              <w:pStyle w:val="Compact"/>
              <w:jc w:val="left"/>
            </w:pPr>
            <w:r>
              <w:t xml:space="preserve">Date limite pour les branches : propositions de NPEC révisés (apprentissage)</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t xml:space="preserve">1er nov. 2026</w:t>
            </w:r>
          </w:p>
        </w:tc>
        <w:tc>
          <w:tcPr/>
          <w:p>
            <w:pPr>
              <w:pStyle w:val="Compact"/>
              <w:jc w:val="left"/>
            </w:pPr>
            <w:r>
              <w:t xml:space="preserve">Entrée en vigueur du nouveau référentiel Qualiopi — 33 indicateurs (décret n° 2026-728)</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Automne 2026</w:t>
            </w:r>
          </w:p>
        </w:tc>
        <w:tc>
          <w:tcPr/>
          <w:p>
            <w:pPr>
              <w:pStyle w:val="Compact"/>
              <w:jc w:val="left"/>
            </w:pPr>
            <w:r>
              <w:t xml:space="preserve">Publication attendue des NPEC définitifs (France Compétences)</w:t>
            </w:r>
          </w:p>
        </w:tc>
      </w:tr>
      <w:tr>
        <w:tc>
          <w:tcPr/>
          <w:p>
            <w:pPr>
              <w:pStyle w:val="Compact"/>
              <w:jc w:val="left"/>
            </w:pPr>
            <w:r>
              <w:t xml:space="preserve">28 juin 2030</w:t>
            </w:r>
          </w:p>
        </w:tc>
        <w:tc>
          <w:tcPr/>
          <w:p>
            <w:pPr>
              <w:pStyle w:val="Compact"/>
              <w:jc w:val="left"/>
            </w:pPr>
            <w:r>
              <w:t xml:space="preserve">Échéance absolue de mise en conformité accessibilité numérique (EAA) pour les services existants</w:t>
            </w:r>
          </w:p>
        </w:tc>
      </w:tr>
    </w:tbl>
    <w:bookmarkEnd w:id="65"/>
    <w:bookmarkStart w:id="66" w:name="actions-à-prévoir"/>
    <w:p>
      <w:pPr>
        <w:pStyle w:val="Heading2"/>
      </w:pPr>
      <w:r>
        <w:t xml:space="preserve">6. Actions à prévoir</w:t>
      </w:r>
    </w:p>
    <w:p>
      <w:pPr>
        <w:numPr>
          <w:ilvl w:val="0"/>
          <w:numId w:val="1001"/>
        </w:numPr>
        <w:pStyle w:val="Compact"/>
      </w:pPr>
      <w:r>
        <w:t xml:space="preserve">Lire le décret n° 2026-728 et réaliser un auto-diagnostic de l’écart entre le système qualité actuel et le nouveau référentiel (33 indicateurs) avant le 1er novembre 2026.</w:t>
      </w:r>
    </w:p>
    <w:p>
      <w:pPr>
        <w:numPr>
          <w:ilvl w:val="0"/>
          <w:numId w:val="1001"/>
        </w:numPr>
        <w:pStyle w:val="Compact"/>
      </w:pPr>
      <w:r>
        <w:t xml:space="preserve">Créer ou mettre à jour la procédure de prévention des violences (dont VSS), du harcèlement et des discriminations.</w:t>
      </w:r>
    </w:p>
    <w:p>
      <w:pPr>
        <w:numPr>
          <w:ilvl w:val="0"/>
          <w:numId w:val="1001"/>
        </w:numPr>
        <w:pStyle w:val="Compact"/>
      </w:pPr>
      <w:r>
        <w:t xml:space="preserve">Passer en revue la communication commerciale : tout taux de réussite, débouché ou promesse de financement affiché doit être exact et démontrable (méthode de calcul documentable).</w:t>
      </w:r>
    </w:p>
    <w:p>
      <w:pPr>
        <w:numPr>
          <w:ilvl w:val="0"/>
          <w:numId w:val="1001"/>
        </w:numPr>
        <w:pStyle w:val="Compact"/>
      </w:pPr>
      <w:r>
        <w:t xml:space="preserve">Formaliser le suivi du distanciel et le contrôle de conformité des sous-traitants et intervenants extérieurs.</w:t>
      </w:r>
    </w:p>
    <w:p>
      <w:pPr>
        <w:numPr>
          <w:ilvl w:val="0"/>
          <w:numId w:val="1001"/>
        </w:numPr>
        <w:pStyle w:val="Compact"/>
      </w:pPr>
      <w:r>
        <w:t xml:space="preserve">Si référencé EDOF : fiabiliser les dossiers CPF (assiduité, réalité des prestations) au regard de la loi anti-fraude du 25 juin 2026, et informer systématiquement les candidats du reste à charge de 150 €.</w:t>
      </w:r>
    </w:p>
    <w:p>
      <w:pPr>
        <w:numPr>
          <w:ilvl w:val="0"/>
          <w:numId w:val="1001"/>
        </w:numPr>
        <w:pStyle w:val="Compact"/>
      </w:pPr>
      <w:r>
        <w:t xml:space="preserve">Cartographier les usages d’IA dans les process de formation (évaluation, positionnement, surveillance) et documenter leur conformité AI Act.</w:t>
      </w:r>
    </w:p>
    <w:p>
      <w:pPr>
        <w:numPr>
          <w:ilvl w:val="0"/>
          <w:numId w:val="1001"/>
        </w:numPr>
        <w:pStyle w:val="Compact"/>
      </w:pPr>
      <w:r>
        <w:t xml:space="preserve">Faire suivre au référent handicap le parcours d’autoformation Agefiph sur l’accessibilité (2h10) et archiver l’attestation (preuve indicateur 26).</w:t>
      </w:r>
    </w:p>
    <w:p>
      <w:pPr>
        <w:numPr>
          <w:ilvl w:val="0"/>
          <w:numId w:val="1001"/>
        </w:numPr>
        <w:pStyle w:val="Compact"/>
      </w:pPr>
      <w:r>
        <w:t xml:space="preserve">Vérifier l’accessibilité numérique du site et de la plateforme de formation (déclaration d’accessibilité si l’organisme est concerné par l’EAA).</w:t>
      </w:r>
    </w:p>
    <w:p>
      <w:pPr>
        <w:numPr>
          <w:ilvl w:val="0"/>
          <w:numId w:val="1001"/>
        </w:numPr>
        <w:pStyle w:val="Compact"/>
      </w:pPr>
      <w:r>
        <w:t xml:space="preserve">Si activité apprentissage : suivre la publication des NPEC définitifs à l’automne et promouvoir l’aide employeurs avant le 31 décembre 2026.</w:t>
      </w:r>
    </w:p>
    <w:p>
      <w:pPr>
        <w:numPr>
          <w:ilvl w:val="0"/>
          <w:numId w:val="1001"/>
        </w:numPr>
        <w:pStyle w:val="Compact"/>
      </w:pPr>
      <w:r>
        <w:t xml:space="preserve">Archiver la présente fiche dans le classeur « Veille » et tracer en réunion les décisions prises à sa lecture (preuve d’exploitation de la veille).</w:t>
      </w:r>
    </w:p>
    <w:bookmarkEnd w:id="66"/>
    <w:bookmarkStart w:id="67" w:name="méthodologie-et-sources"/>
    <w:p>
      <w:pPr>
        <w:pStyle w:val="Heading2"/>
      </w:pPr>
      <w:r>
        <w:t xml:space="preserve">Méthodologie et sources</w:t>
      </w:r>
    </w:p>
    <w:p>
      <w:pPr>
        <w:pStyle w:val="FirstParagraph"/>
      </w:pPr>
      <w:r>
        <w:t xml:space="preserve">Veille réalisée le 15 août 2026 par recherche systématique sur les sources officielles et professionnelles : Légifrance / Journal Officiel, Ministère du Travail, France Compétences, Centre Inffo, Caisse des Dépôts (Mon Compte Formation), Agefiph, FIPHFP, ISTF, Les Acteurs de la Compétence. Chaque information est datée et accompagnée de l’URL de sa source. Note : période estivale oblige, peu de publications entre le 7 et le 15 août 2026 ; la période couverte a été élargie à juin-août pour cette première fiche.</w:t>
      </w:r>
    </w:p>
    <w:p>
      <w:pPr>
        <w:pStyle w:val="BodyText"/>
      </w:pPr>
      <w:r>
        <w:rPr>
          <w:iCs/>
          <w:i/>
        </w:rPr>
        <w:t xml:space="preserve">Fiche générée et archivée automatiquement — veille Qualiopi critère 6.</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umetier.org/publications/ai-act-obligations-et-enjeux-pour-la-formation-pro" TargetMode="External" /><Relationship Type="http://schemas.openxmlformats.org/officeDocument/2006/relationships/hyperlink" Id="rId25" Target="https://lesacteursdelacompetence.fr/communique-cpf-les-acteurs-de-la-competence-appellent-a-une-concertation-sur-lavenir-du-dispositif/" TargetMode="External" /><Relationship Type="http://schemas.openxmlformats.org/officeDocument/2006/relationships/hyperlink" Id="rId54" Target="https://www.agefiph.fr/actualites-handicap/appel-innovation-2026-de-lagefiph-budget-de-2-millions-deuros" TargetMode="External" /><Relationship Type="http://schemas.openxmlformats.org/officeDocument/2006/relationships/hyperlink" Id="rId56" Target="https://www.agefiph.fr/actualites-handicap/appui-la-professionnalisation-le-parcours-complet-sur-laccessibilite-des" TargetMode="External" /><Relationship Type="http://schemas.openxmlformats.org/officeDocument/2006/relationships/hyperlink" Id="rId51" Target="https://www.centre-inffo.fr/innovation-formation/articles/edito-innovation-juillet-aout-2026-lectures-ia-sur-papier" TargetMode="External" /><Relationship Type="http://schemas.openxmlformats.org/officeDocument/2006/relationships/hyperlink" Id="rId58" Target="https://www.centre-inffo.fr/site-centre-inffo/actualites-centre-inffo/le-quotidien-de-la-formation-actualite-formation-professionnelle-apprentissage/actualites-2026/handicap-encore-de-belles-marges-de-progres" TargetMode="External" /><Relationship Type="http://schemas.openxmlformats.org/officeDocument/2006/relationships/hyperlink" Id="rId47" Target="https://www.centre-inffo.fr/site-centre-inffo/lexpresso/technologies-de-formation-2026-lia-progresse-mais-la-preuve-de-valeur-devient-le-vrai-enjeu" TargetMode="External" /><Relationship Type="http://schemas.openxmlformats.org/officeDocument/2006/relationships/hyperlink" Id="rId60" Target="https://www.digiformag.com/accessibilite-numerique-ce-que-la-directive-europeenne-change-vraiment-pour-les-organismes-de-formation/" TargetMode="External" /><Relationship Type="http://schemas.openxmlformats.org/officeDocument/2006/relationships/hyperlink" Id="rId31" Target="https://www.editions-tissot.fr/actualite/droit-du-travail/cpf-le-reste-a-charge-passe-a-150-euros-a-compter-du-2-avril-2026" TargetMode="External" /><Relationship Type="http://schemas.openxmlformats.org/officeDocument/2006/relationships/hyperlink" Id="rId62" Target="https://www.fiphfp.fr/actualites-et-evenements/actualites/20-ans-du-fiphfp-une-nouvelle-etape-pour-une-fonction-publique-toujours-plus-inclusive" TargetMode="External" /><Relationship Type="http://schemas.openxmlformats.org/officeDocument/2006/relationships/hyperlink" Id="rId34" Target="https://www.francecompetences.fr/deliberation-de-la-commission-de-la-certification-professionnelle/" TargetMode="External" /><Relationship Type="http://schemas.openxmlformats.org/officeDocument/2006/relationships/hyperlink" Id="rId40" Target="https://www.francecompetences.fr/fiche/cartographie-des-metiers-un-outil-cle-au-service-de-lemploi-et-des-parcours/" TargetMode="External" /><Relationship Type="http://schemas.openxmlformats.org/officeDocument/2006/relationships/hyperlink" Id="rId38" Target="https://www.francecompetences.fr/fiche/enquete-nationale-aupres-des-organismes-certificateurs-et-des-organismes-de-formation-habilites/" TargetMode="External" /><Relationship Type="http://schemas.openxmlformats.org/officeDocument/2006/relationships/hyperlink" Id="rId29" Target="https://www.francecompetences.fr/fiche/france-competences-lance-la-revision-generale-des-niveaux-de-prise-en-charge-des-contrats-dapprentissage/" TargetMode="External" /><Relationship Type="http://schemas.openxmlformats.org/officeDocument/2006/relationships/hyperlink" Id="rId36" Target="https://www.francecompetences.fr/fiche/metiers-emergents-ou-en-particuliere-evolution-france-competences-elargit-son-7%E1%B5%89-appel-a-contributions/" TargetMode="External" /><Relationship Type="http://schemas.openxmlformats.org/officeDocument/2006/relationships/hyperlink" Id="rId49" Target="https://www.istf-formation.fr/blog/infographie-les-chiffres-2026-du-digital-learning/" TargetMode="External" /><Relationship Type="http://schemas.openxmlformats.org/officeDocument/2006/relationships/hyperlink" Id="rId23" Target="https://www.legifrance.gouv.fr/jorf/id/JORFTEXT000054309429" TargetMode="External" /><Relationship Type="http://schemas.openxmlformats.org/officeDocument/2006/relationships/hyperlink" Id="rId27" Target="https://www.legifrance.gouv.fr/jorf/id/JORFTEXT000054541033" TargetMode="External" /><Relationship Type="http://schemas.openxmlformats.org/officeDocument/2006/relationships/hyperlink" Id="rId21" Target="https://www.legifrance.gouv.fr/jorf/id/JORFTEXT000054608509" TargetMode="External" /><Relationship Type="http://schemas.openxmlformats.org/officeDocument/2006/relationships/hyperlink" Id="rId42" Target="https://www.strategie-plan.gouv.fr/publications" TargetMode="External" /></Relationships>
</file>

<file path=word/_rels/footnotes.xml.rels><?xml version="1.0" encoding="UTF-8"?><Relationships xmlns="http://schemas.openxmlformats.org/package/2006/relationships"><Relationship Type="http://schemas.openxmlformats.org/officeDocument/2006/relationships/hyperlink" Id="rId45" Target="https://dumetier.org/publications/ai-act-obligations-et-enjeux-pour-la-formation-pro" TargetMode="External" /><Relationship Type="http://schemas.openxmlformats.org/officeDocument/2006/relationships/hyperlink" Id="rId25" Target="https://lesacteursdelacompetence.fr/communique-cpf-les-acteurs-de-la-competence-appellent-a-une-concertation-sur-lavenir-du-dispositif/" TargetMode="External" /><Relationship Type="http://schemas.openxmlformats.org/officeDocument/2006/relationships/hyperlink" Id="rId54" Target="https://www.agefiph.fr/actualites-handicap/appel-innovation-2026-de-lagefiph-budget-de-2-millions-deuros" TargetMode="External" /><Relationship Type="http://schemas.openxmlformats.org/officeDocument/2006/relationships/hyperlink" Id="rId56" Target="https://www.agefiph.fr/actualites-handicap/appui-la-professionnalisation-le-parcours-complet-sur-laccessibilite-des" TargetMode="External" /><Relationship Type="http://schemas.openxmlformats.org/officeDocument/2006/relationships/hyperlink" Id="rId51" Target="https://www.centre-inffo.fr/innovation-formation/articles/edito-innovation-juillet-aout-2026-lectures-ia-sur-papier" TargetMode="External" /><Relationship Type="http://schemas.openxmlformats.org/officeDocument/2006/relationships/hyperlink" Id="rId58" Target="https://www.centre-inffo.fr/site-centre-inffo/actualites-centre-inffo/le-quotidien-de-la-formation-actualite-formation-professionnelle-apprentissage/actualites-2026/handicap-encore-de-belles-marges-de-progres" TargetMode="External" /><Relationship Type="http://schemas.openxmlformats.org/officeDocument/2006/relationships/hyperlink" Id="rId47" Target="https://www.centre-inffo.fr/site-centre-inffo/lexpresso/technologies-de-formation-2026-lia-progresse-mais-la-preuve-de-valeur-devient-le-vrai-enjeu" TargetMode="External" /><Relationship Type="http://schemas.openxmlformats.org/officeDocument/2006/relationships/hyperlink" Id="rId60" Target="https://www.digiformag.com/accessibilite-numerique-ce-que-la-directive-europeenne-change-vraiment-pour-les-organismes-de-formation/" TargetMode="External" /><Relationship Type="http://schemas.openxmlformats.org/officeDocument/2006/relationships/hyperlink" Id="rId31" Target="https://www.editions-tissot.fr/actualite/droit-du-travail/cpf-le-reste-a-charge-passe-a-150-euros-a-compter-du-2-avril-2026" TargetMode="External" /><Relationship Type="http://schemas.openxmlformats.org/officeDocument/2006/relationships/hyperlink" Id="rId62" Target="https://www.fiphfp.fr/actualites-et-evenements/actualites/20-ans-du-fiphfp-une-nouvelle-etape-pour-une-fonction-publique-toujours-plus-inclusive" TargetMode="External" /><Relationship Type="http://schemas.openxmlformats.org/officeDocument/2006/relationships/hyperlink" Id="rId34" Target="https://www.francecompetences.fr/deliberation-de-la-commission-de-la-certification-professionnelle/" TargetMode="External" /><Relationship Type="http://schemas.openxmlformats.org/officeDocument/2006/relationships/hyperlink" Id="rId40" Target="https://www.francecompetences.fr/fiche/cartographie-des-metiers-un-outil-cle-au-service-de-lemploi-et-des-parcours/" TargetMode="External" /><Relationship Type="http://schemas.openxmlformats.org/officeDocument/2006/relationships/hyperlink" Id="rId38" Target="https://www.francecompetences.fr/fiche/enquete-nationale-aupres-des-organismes-certificateurs-et-des-organismes-de-formation-habilites/" TargetMode="External" /><Relationship Type="http://schemas.openxmlformats.org/officeDocument/2006/relationships/hyperlink" Id="rId29" Target="https://www.francecompetences.fr/fiche/france-competences-lance-la-revision-generale-des-niveaux-de-prise-en-charge-des-contrats-dapprentissage/" TargetMode="External" /><Relationship Type="http://schemas.openxmlformats.org/officeDocument/2006/relationships/hyperlink" Id="rId36" Target="https://www.francecompetences.fr/fiche/metiers-emergents-ou-en-particuliere-evolution-france-competences-elargit-son-7%E1%B5%89-appel-a-contributions/" TargetMode="External" /><Relationship Type="http://schemas.openxmlformats.org/officeDocument/2006/relationships/hyperlink" Id="rId49" Target="https://www.istf-formation.fr/blog/infographie-les-chiffres-2026-du-digital-learning/" TargetMode="External" /><Relationship Type="http://schemas.openxmlformats.org/officeDocument/2006/relationships/hyperlink" Id="rId23" Target="https://www.legifrance.gouv.fr/jorf/id/JORFTEXT000054309429" TargetMode="External" /><Relationship Type="http://schemas.openxmlformats.org/officeDocument/2006/relationships/hyperlink" Id="rId27" Target="https://www.legifrance.gouv.fr/jorf/id/JORFTEXT000054541033" TargetMode="External" /><Relationship Type="http://schemas.openxmlformats.org/officeDocument/2006/relationships/hyperlink" Id="rId21" Target="https://www.legifrance.gouv.fr/jorf/id/JORFTEXT000054608509" TargetMode="External" /><Relationship Type="http://schemas.openxmlformats.org/officeDocument/2006/relationships/hyperlink" Id="rId42" Target="https://www.strategie-plan.gouv.fr/publ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2026-10-12T05:15:03Z</dcterms:created>
  <dcterms:modified xsi:type="dcterms:W3CDTF">2026-10-12T05:15:03Z</dcterms:modified>
</cp:coreProperties>
</file>

<file path=docProps/custom.xml><?xml version="1.0" encoding="utf-8"?>
<Properties xmlns="http://schemas.openxmlformats.org/officeDocument/2006/custom-properties" xmlns:vt="http://schemas.openxmlformats.org/officeDocument/2006/docPropsVTypes"/>
</file>