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fiche-de-veille-qualiopi-critère-6"/>
    <w:p>
      <w:pPr>
        <w:pStyle w:val="Heading1"/>
      </w:pPr>
      <w:r>
        <w:t xml:space="preserve">FICHE DE VEILLE — QUALIOPI CRITÈRE 6</w:t>
      </w:r>
    </w:p>
    <w:p>
      <w:pPr>
        <w:pStyle w:val="FirstParagraph"/>
      </w:pPr>
      <w:r>
        <w:rPr>
          <w:iCs/>
          <w:i/>
        </w:rPr>
        <w:t xml:space="preserve">Veille légale, réglementaire, métiers, pédagogique et handicap (indicateurs 23 à 26)</w:t>
      </w:r>
    </w:p>
    <w:p>
      <w:pPr>
        <w:pStyle w:val="BodyText"/>
      </w:pPr>
      <w:r>
        <w:rPr>
          <w:bCs/>
          <w:b/>
        </w:rPr>
        <w:t xml:space="preserve">Fiche n° 2026-02 • Réalisée le 18 septembre 2026 • Période couverte : 16 août – 18 septembre 2026</w:t>
      </w:r>
    </w:p>
    <w:p>
      <w:pPr>
        <w:pStyle w:val="BodyText"/>
      </w:pPr>
      <w:r>
        <w:rPr>
          <w:bCs/>
          <w:b/>
        </w:rPr>
        <w:t xml:space="preserve">Organisme :</w:t>
      </w:r>
      <w:r>
        <w:t xml:space="preserve"> </w:t>
      </w:r>
      <w:r>
        <w:t xml:space="preserve">________________________</w:t>
      </w:r>
      <w:r>
        <w:t xml:space="preserve"> </w:t>
      </w:r>
      <w:r>
        <w:rPr>
          <w:bCs/>
          <w:b/>
        </w:rPr>
        <w:t xml:space="preserve">Visa du responsable :</w:t>
      </w:r>
      <w:r>
        <w:t xml:space="preserve"> </w:t>
      </w:r>
      <w:r>
        <w:t xml:space="preserve">____________</w:t>
      </w:r>
    </w:p>
    <w:bookmarkStart w:id="20" w:name="à-la-une-le-fait-marquant-de-la-période"/>
    <w:p>
      <w:pPr>
        <w:pStyle w:val="Heading2"/>
      </w:pPr>
      <w:r>
        <w:t xml:space="preserve">À la une — le fait marquant de la période</w:t>
      </w:r>
    </w:p>
    <w:p>
      <w:pPr>
        <w:pStyle w:val="FirstParagraph"/>
      </w:pPr>
      <w:r>
        <w:rPr>
          <w:bCs/>
          <w:b/>
        </w:rPr>
        <w:t xml:space="preserve">Rentrée sous le signe des échéances déclaratives et financières.</w:t>
      </w:r>
      <w:r>
        <w:t xml:space="preserve"> </w:t>
      </w:r>
      <w:r>
        <w:t xml:space="preserve">Les nouveaux niveaux de prise en charge de l’apprentissage (NPEC) s’appliquent aux contrats conclus depuis le 1er septembre 2026 (décret n° 2026-832 du 29 août 2026, référentiel complet publié par France Compétences le 31 août). Parallèlement, la Caisse des Dépôts impose aux organismes référencés EDOF une double déclaration : sous-traitance 2025 avant le</w:t>
      </w:r>
      <w:r>
        <w:t xml:space="preserve"> </w:t>
      </w:r>
      <w:r>
        <w:rPr>
          <w:bCs/>
          <w:b/>
        </w:rPr>
        <w:t xml:space="preserve">30 septembre 2026</w:t>
      </w:r>
      <w:r>
        <w:t xml:space="preserve"> </w:t>
      </w:r>
      <w:r>
        <w:t xml:space="preserve">et blocs de compétences RNCP avant le</w:t>
      </w:r>
      <w:r>
        <w:t xml:space="preserve"> </w:t>
      </w:r>
      <w:r>
        <w:rPr>
          <w:bCs/>
          <w:b/>
        </w:rPr>
        <w:t xml:space="preserve">22 octobre 2026</w:t>
      </w:r>
      <w:r>
        <w:t xml:space="preserve"> </w:t>
      </w:r>
      <w:r>
        <w:t xml:space="preserve">— sous peine de plafonnement à 80 % du chiffre d’affaires CPF pour la première et de déréférencement des formations du moteur de recherche pour la seconde. Enfin, le compte à rebours vers le référentiel Qualiopi à 33 indicateurs (1er novembre 2026) continue ; le guide de lecture V10 n’était toujours pas publié à la date de rédaction.</w:t>
      </w:r>
    </w:p>
    <w:bookmarkEnd w:id="20"/>
    <w:bookmarkStart w:id="38" w:name="X5876ee4bbe0bd103dff81c4f15b870aca873b7a"/>
    <w:p>
      <w:pPr>
        <w:pStyle w:val="Heading2"/>
      </w:pPr>
      <w:r>
        <w:t xml:space="preserve">1. Veille légale et réglementaire (indicateur 23)</w:t>
      </w:r>
    </w:p>
    <w:bookmarkStart w:id="23" w:name="X3b21674dd937e9cbc5fba20fe2994fcddc40679"/>
    <w:p>
      <w:pPr>
        <w:pStyle w:val="Heading3"/>
      </w:pPr>
      <w:r>
        <w:t xml:space="preserve">NPEC apprentissage : le décret n° 2026-832 du 29 août 2026 fixe les valeurs de carence</w:t>
      </w:r>
    </w:p>
    <w:p>
      <w:pPr>
        <w:pStyle w:val="FirstParagraph"/>
      </w:pPr>
      <w:r>
        <w:rPr>
          <w:bCs/>
          <w:b/>
        </w:rPr>
        <w:t xml:space="preserve">29/08/2026 (JO du 30/08/2026)</w:t>
      </w:r>
      <w:r>
        <w:t xml:space="preserve"> </w:t>
      </w:r>
      <w:r>
        <w:t xml:space="preserve">— Légifrance / Certiforma / OPCO 2i</w:t>
      </w:r>
    </w:p>
    <w:p>
      <w:pPr>
        <w:pStyle w:val="BodyText"/>
      </w:pPr>
      <w:r>
        <w:t xml:space="preserve">Le décret fixe les niveaux de prise en charge des contrats d’apprentissage applicables aux</w:t>
      </w:r>
      <w:r>
        <w:t xml:space="preserve"> </w:t>
      </w:r>
      <w:r>
        <w:rPr>
          <w:bCs/>
          <w:b/>
        </w:rPr>
        <w:t xml:space="preserve">contrats conclus à compter du 1er septembre 2026</w:t>
      </w:r>
      <w:r>
        <w:t xml:space="preserve"> </w:t>
      </w:r>
      <w:r>
        <w:t xml:space="preserve">(date de signature, non de démarrage). Il s’agit de « valeurs de carence » : elles ne s’appliquent que lorsque la branche n’a pas fixé ses propres niveaux. Un plancher de 4 000 € est instauré ; les décrets antérieurs (5 juillet 2024 et 29 août 2025) sont abrogés ; les contrats en cours conservent leur niveau d’origine jusqu’à leur terme.</w:t>
      </w:r>
    </w:p>
    <w:p>
      <w:pPr>
        <w:pStyle w:val="BodyText"/>
      </w:pPr>
      <w:r>
        <w:rPr>
          <w:iCs/>
          <w:i/>
        </w:rPr>
        <w:t xml:space="preserve">Impact pour l’organisme : si activité CFA/OFA, vérifier certification par certification si la branche concernée a publié ses propres NPEC (ce sont eux qui prévalent) avant d’appliquer l’annexe du décret ; mettre à jour les conventions et les prévisions budgétaires pour les contrats signés depuis le 1er septembre.</w:t>
      </w:r>
    </w:p>
    <w:p>
      <w:pPr>
        <w:pStyle w:val="BodyText"/>
      </w:pPr>
      <w:r>
        <w:t xml:space="preserve">Source :</w:t>
      </w:r>
      <w:r>
        <w:t xml:space="preserve"> </w:t>
      </w:r>
      <w:hyperlink r:id="rId21">
        <w:r>
          <w:rPr>
            <w:rStyle w:val="Hyperlink"/>
          </w:rPr>
          <w:t xml:space="preserve">https://certiforma.fr/npec-decret-2026-832-septembre-2026/</w:t>
        </w:r>
      </w:hyperlink>
      <w:r>
        <w:t xml:space="preserve"> </w:t>
      </w:r>
      <w:r>
        <w:t xml:space="preserve">•</w:t>
      </w:r>
      <w:r>
        <w:t xml:space="preserve"> </w:t>
      </w:r>
      <w:hyperlink r:id="rId22">
        <w:r>
          <w:rPr>
            <w:rStyle w:val="Hyperlink"/>
          </w:rPr>
          <w:t xml:space="preserve">https://www.opco2i.fr/apprentissage-nouveaux-niveaux-de-prise-en-charge-pour-les-contrats-conclus-des-le-1er-septembre-2026/</w:t>
        </w:r>
      </w:hyperlink>
    </w:p>
    <w:bookmarkEnd w:id="23"/>
    <w:bookmarkStart w:id="25" w:name="X38a1e520349fbb09092ac8e1319a4b4f9d43d89"/>
    <w:p>
      <w:pPr>
        <w:pStyle w:val="Heading3"/>
      </w:pPr>
      <w:r>
        <w:t xml:space="preserve">France Compétences publie le référentiel complet des NPEC</w:t>
      </w:r>
    </w:p>
    <w:p>
      <w:pPr>
        <w:pStyle w:val="FirstParagraph"/>
      </w:pPr>
      <w:r>
        <w:rPr>
          <w:bCs/>
          <w:b/>
        </w:rPr>
        <w:t xml:space="preserve">31/08/2026</w:t>
      </w:r>
      <w:r>
        <w:t xml:space="preserve"> </w:t>
      </w:r>
      <w:r>
        <w:t xml:space="preserve">— France Compétences</w:t>
      </w:r>
    </w:p>
    <w:p>
      <w:pPr>
        <w:pStyle w:val="BodyText"/>
      </w:pPr>
      <w:r>
        <w:t xml:space="preserve">France Compétences a mis en ligne le référentiel complet des NPEC issu de la révision générale : 745 213 combinaisons théoriques couvrant 3 671 certifications, dont 58 418 avec des contrats effectivement rattachés. Les branches (CPNE) pouvaient moduler de ±30 % les recommandations : 33 % des valeurs sont conformes aux recommandations, 12 % majorées, 55 % minorées ; le NPEC moyen pondéré reste stable à 7 735 €.</w:t>
      </w:r>
    </w:p>
    <w:p>
      <w:pPr>
        <w:pStyle w:val="BodyText"/>
      </w:pPr>
      <w:r>
        <w:rPr>
          <w:iCs/>
          <w:i/>
        </w:rPr>
        <w:t xml:space="preserve">Impact pour l’organisme : télécharger le référentiel et vérifier les montants applicables aux certifications préparées ; une majorité de valeurs étant orientées à la baisse, ajuster le modèle économique des formations en apprentissage concernées.</w:t>
      </w:r>
    </w:p>
    <w:p>
      <w:pPr>
        <w:pStyle w:val="BodyText"/>
      </w:pPr>
      <w:r>
        <w:t xml:space="preserve">Source :</w:t>
      </w:r>
      <w:r>
        <w:t xml:space="preserve"> </w:t>
      </w:r>
      <w:hyperlink r:id="rId24">
        <w:r>
          <w:rPr>
            <w:rStyle w:val="Hyperlink"/>
          </w:rPr>
          <w:t xml:space="preserve">https://www.francecompetences.fr/fiche/france-competences-publie-le-referentiel-complet-des-niveaux-de-prise-en-charge-des-contrats-dapprentissage-npec/</w:t>
        </w:r>
      </w:hyperlink>
    </w:p>
    <w:bookmarkEnd w:id="25"/>
    <w:bookmarkStart w:id="28" w:name="X564ad449f476aa7d7ab3cd2ae1f86fa5c6b0dce"/>
    <w:p>
      <w:pPr>
        <w:pStyle w:val="Heading3"/>
      </w:pPr>
      <w:r>
        <w:t xml:space="preserve">EDOF : deux déclarations obligatoires d’ici fin octobre (sous-traitance et blocs RNCP)</w:t>
      </w:r>
    </w:p>
    <w:p>
      <w:pPr>
        <w:pStyle w:val="FirstParagraph"/>
      </w:pPr>
      <w:r>
        <w:rPr>
          <w:bCs/>
          <w:b/>
        </w:rPr>
        <w:t xml:space="preserve">11/09/2026</w:t>
      </w:r>
      <w:r>
        <w:t xml:space="preserve"> </w:t>
      </w:r>
      <w:r>
        <w:t xml:space="preserve">— Caisse des Dépôts / Certiforma / Millorem</w:t>
      </w:r>
    </w:p>
    <w:p>
      <w:pPr>
        <w:pStyle w:val="BodyText"/>
      </w:pPr>
      <w:r>
        <w:t xml:space="preserve">Deux campagnes déclaratives sont ouvertes sur EDOF.</w:t>
      </w:r>
      <w:r>
        <w:t xml:space="preserve"> </w:t>
      </w:r>
      <w:r>
        <w:rPr>
          <w:bCs/>
          <w:b/>
        </w:rPr>
        <w:t xml:space="preserve">1) Sous-traitance</w:t>
      </w:r>
      <w:r>
        <w:t xml:space="preserve"> </w:t>
      </w:r>
      <w:r>
        <w:t xml:space="preserve">(décret n° 2023-1350 du 28/12/2023, arrêté du 03/01/2024, art. R. 6333-6-2) : tous les organismes référencés sur Mon Compte Formation doivent déclarer avant le</w:t>
      </w:r>
      <w:r>
        <w:t xml:space="preserve"> </w:t>
      </w:r>
      <w:r>
        <w:rPr>
          <w:bCs/>
          <w:b/>
        </w:rPr>
        <w:t xml:space="preserve">30 septembre 2026</w:t>
      </w:r>
      <w:r>
        <w:t xml:space="preserve"> </w:t>
      </w:r>
      <w:r>
        <w:t xml:space="preserve">leur activité de sous-traitance sur l’année 2025, même en l’absence de sous-traitance ; les non-répondants se voient appliquer le plafond de 80 % de chiffre d’affaires sous-traité.</w:t>
      </w:r>
      <w:r>
        <w:t xml:space="preserve"> </w:t>
      </w:r>
      <w:r>
        <w:rPr>
          <w:bCs/>
          <w:b/>
        </w:rPr>
        <w:t xml:space="preserve">2) Blocs de compétences</w:t>
      </w:r>
      <w:r>
        <w:t xml:space="preserve"> </w:t>
      </w:r>
      <w:r>
        <w:t xml:space="preserve">: les organismes proposant des formations visant une certification RNCP doivent renseigner les blocs avant le</w:t>
      </w:r>
      <w:r>
        <w:t xml:space="preserve"> </w:t>
      </w:r>
      <w:r>
        <w:rPr>
          <w:bCs/>
          <w:b/>
        </w:rPr>
        <w:t xml:space="preserve">22 octobre 2026</w:t>
      </w:r>
      <w:r>
        <w:t xml:space="preserve"> </w:t>
      </w:r>
      <w:r>
        <w:t xml:space="preserve">; les formations non renseignées disparaîtront du moteur de recherche de Mon Compte Formation.</w:t>
      </w:r>
    </w:p>
    <w:p>
      <w:pPr>
        <w:pStyle w:val="BodyText"/>
      </w:pPr>
      <w:r>
        <w:rPr>
          <w:iCs/>
          <w:i/>
        </w:rPr>
        <w:t xml:space="preserve">Impact pour l’organisme : Majeur si référencé EDOF — effectuer les deux déclarations dans les délais ; conserver les accusés de dépôt comme preuve (traçabilité, indicateur 23 et critère 3 du nouveau référentiel sur la sous-traitance).</w:t>
      </w:r>
    </w:p>
    <w:p>
      <w:pPr>
        <w:pStyle w:val="BodyText"/>
      </w:pPr>
      <w:r>
        <w:t xml:space="preserve">Source :</w:t>
      </w:r>
      <w:r>
        <w:t xml:space="preserve"> </w:t>
      </w:r>
      <w:hyperlink r:id="rId26">
        <w:r>
          <w:rPr>
            <w:rStyle w:val="Hyperlink"/>
          </w:rPr>
          <w:t xml:space="preserve">https://certiforma.fr/edof-declarations-sous-traitance-blocs-competences-2026/</w:t>
        </w:r>
      </w:hyperlink>
      <w:r>
        <w:t xml:space="preserve"> </w:t>
      </w:r>
      <w:r>
        <w:t xml:space="preserve">•</w:t>
      </w:r>
      <w:r>
        <w:t xml:space="preserve"> </w:t>
      </w:r>
      <w:hyperlink r:id="rId27">
        <w:r>
          <w:rPr>
            <w:rStyle w:val="Hyperlink"/>
          </w:rPr>
          <w:t xml:space="preserve">https://www.millorem-formations.fr/sous-traitance-cpf-2026-declaration-avant-le-30-septembre/</w:t>
        </w:r>
      </w:hyperlink>
    </w:p>
    <w:bookmarkEnd w:id="28"/>
    <w:bookmarkStart w:id="30" w:name="X1b5e89089960857e126f439698fa3db2caa4c97"/>
    <w:p>
      <w:pPr>
        <w:pStyle w:val="Heading3"/>
      </w:pPr>
      <w:r>
        <w:t xml:space="preserve">CPF : les concertations ministérielles se tiennent ce mois-ci</w:t>
      </w:r>
    </w:p>
    <w:p>
      <w:pPr>
        <w:pStyle w:val="FirstParagraph"/>
      </w:pPr>
      <w:r>
        <w:rPr>
          <w:bCs/>
          <w:b/>
        </w:rPr>
        <w:t xml:space="preserve">annoncées le 28/07/2026, en cours en septembre 2026</w:t>
      </w:r>
      <w:r>
        <w:t xml:space="preserve"> </w:t>
      </w:r>
      <w:r>
        <w:t xml:space="preserve">— Ministère du Travail / Mon Pôle Formation</w:t>
      </w:r>
    </w:p>
    <w:p>
      <w:pPr>
        <w:pStyle w:val="BodyText"/>
      </w:pPr>
      <w:r>
        <w:t xml:space="preserve">Le ministère du Travail a engagé en septembre des concertations avec les partenaires sociaux et les acteurs de la formation sur l’évolution du CPF : révision des plafonds de financement par type de formation, encadrement des prix, renforcement du reste à charge pour certaines formations, lutte contre la fraude et priorisation des formations certifiantes et des reconversions vers les métiers en tension. Objectif affiché : des propositions concrètes avant fin 2026 pour une mise en œuvre progressive dès 2027, avec préservation des droits acquis.</w:t>
      </w:r>
    </w:p>
    <w:p>
      <w:pPr>
        <w:pStyle w:val="BodyText"/>
      </w:pPr>
      <w:r>
        <w:rPr>
          <w:iCs/>
          <w:i/>
        </w:rPr>
        <w:t xml:space="preserve">Impact pour l’organisme : risque à moyen terme sur les volumes et les prix des formations CPF ; suivre les conclusions d’ici fin 2026 et diversifier dès maintenant les canaux de financement (plan de développement, OPCO, apprentissage).</w:t>
      </w:r>
    </w:p>
    <w:p>
      <w:pPr>
        <w:pStyle w:val="BodyText"/>
      </w:pPr>
      <w:r>
        <w:t xml:space="preserve">Source :</w:t>
      </w:r>
      <w:r>
        <w:t xml:space="preserve"> </w:t>
      </w:r>
      <w:hyperlink r:id="rId29">
        <w:r>
          <w:rPr>
            <w:rStyle w:val="Hyperlink"/>
          </w:rPr>
          <w:t xml:space="preserve">https://monpoleformation.fr/cpf-2026-concertations-ministere-travail-septembre/</w:t>
        </w:r>
      </w:hyperlink>
    </w:p>
    <w:bookmarkEnd w:id="30"/>
    <w:bookmarkStart w:id="32" w:name="X5852d1109b7a11f961e0cd5389574e9d59d0f5d"/>
    <w:p>
      <w:pPr>
        <w:pStyle w:val="Heading3"/>
      </w:pPr>
      <w:r>
        <w:t xml:space="preserve">Facturation électronique : l’obligation de réception est entrée en vigueur le 1er septembre</w:t>
      </w:r>
    </w:p>
    <w:p>
      <w:pPr>
        <w:pStyle w:val="FirstParagraph"/>
      </w:pPr>
      <w:r>
        <w:rPr>
          <w:bCs/>
          <w:b/>
        </w:rPr>
        <w:t xml:space="preserve">01/09/2026</w:t>
      </w:r>
      <w:r>
        <w:t xml:space="preserve"> </w:t>
      </w:r>
      <w:r>
        <w:t xml:space="preserve">— Formites</w:t>
      </w:r>
    </w:p>
    <w:p>
      <w:pPr>
        <w:pStyle w:val="BodyText"/>
      </w:pPr>
      <w:r>
        <w:t xml:space="preserve">Depuis le 1er septembre 2026, toutes les entreprises assujetties à la TVA — organismes de formation compris — doivent être en mesure de</w:t>
      </w:r>
      <w:r>
        <w:t xml:space="preserve"> </w:t>
      </w:r>
      <w:r>
        <w:rPr>
          <w:bCs/>
          <w:b/>
        </w:rPr>
        <w:t xml:space="preserve">recevoir</w:t>
      </w:r>
      <w:r>
        <w:t xml:space="preserve"> </w:t>
      </w:r>
      <w:r>
        <w:t xml:space="preserve">des factures électroniques via une plateforme agréée. L’obligation d’</w:t>
      </w:r>
      <w:r>
        <w:rPr>
          <w:bCs/>
          <w:b/>
        </w:rPr>
        <w:t xml:space="preserve">émission</w:t>
      </w:r>
      <w:r>
        <w:t xml:space="preserve"> </w:t>
      </w:r>
      <w:r>
        <w:t xml:space="preserve">s’applique dès maintenant aux grandes entreprises et ETI, et au 1er septembre 2027 pour les PME et micro-entreprises. La même analyse signale une évolution des circuits de financement OPCO à compter du 1er octobre 2026 (fin d’un régime dérogatoire de TVA, paiement TTC par l’entreprise puis remboursement) — point à confirmer auprès de chaque OPCO.</w:t>
      </w:r>
    </w:p>
    <w:p>
      <w:pPr>
        <w:pStyle w:val="BodyText"/>
      </w:pPr>
      <w:r>
        <w:rPr>
          <w:iCs/>
          <w:i/>
        </w:rPr>
        <w:t xml:space="preserve">Impact pour l’organisme : vérifier le raccordement à une plateforme de dématérialisation partenaire (PDP) et adapter la chaîne de facturation ; interroger ses OPCO sur le circuit de paiement applicable à partir d’octobre.</w:t>
      </w:r>
    </w:p>
    <w:p>
      <w:pPr>
        <w:pStyle w:val="BodyText"/>
      </w:pPr>
      <w:r>
        <w:t xml:space="preserve">Source :</w:t>
      </w:r>
      <w:r>
        <w:t xml:space="preserve"> </w:t>
      </w:r>
      <w:hyperlink r:id="rId31">
        <w:r>
          <w:rPr>
            <w:rStyle w:val="Hyperlink"/>
          </w:rPr>
          <w:t xml:space="preserve">https://formites.fr/rentree-2026-4-evolutions-a-integrer-dans-votre-organisation</w:t>
        </w:r>
      </w:hyperlink>
    </w:p>
    <w:bookmarkEnd w:id="32"/>
    <w:bookmarkStart w:id="35" w:name="X6b260cb265bcc976ed4e565ac592231c21aae00"/>
    <w:p>
      <w:pPr>
        <w:pStyle w:val="Heading3"/>
      </w:pPr>
      <w:r>
        <w:t xml:space="preserve">Qualiopi V10 : guide de lecture toujours attendu, offre de webinaires en hausse</w:t>
      </w:r>
    </w:p>
    <w:p>
      <w:pPr>
        <w:pStyle w:val="FirstParagraph"/>
      </w:pPr>
      <w:r>
        <w:rPr>
          <w:bCs/>
          <w:b/>
        </w:rPr>
        <w:t xml:space="preserve">au 18/09/2026</w:t>
      </w:r>
      <w:r>
        <w:t xml:space="preserve"> </w:t>
      </w:r>
      <w:r>
        <w:t xml:space="preserve">— Certification RNQ / L’Atelier du Formateur</w:t>
      </w:r>
    </w:p>
    <w:p>
      <w:pPr>
        <w:pStyle w:val="BodyText"/>
      </w:pPr>
      <w:r>
        <w:t xml:space="preserve">À sept semaines de l’entrée en vigueur du référentiel à 33 indicateurs (décret n° 2026-728 du 1er août 2026, applicable au 1er novembre 2026), le guide de lecture V10 du ministère du Travail n’était pas encore publié à la date de rédaction de cette fiche. Les organismes certificateurs et cabinets multiplient les analyses et webinaires de préparation (notamment les 22 et 29 septembre : analyse du décret, contrôles et loi anti-fraude).</w:t>
      </w:r>
    </w:p>
    <w:p>
      <w:pPr>
        <w:pStyle w:val="BodyText"/>
      </w:pPr>
      <w:r>
        <w:rPr>
          <w:iCs/>
          <w:i/>
        </w:rPr>
        <w:t xml:space="preserve">Impact pour l’organisme : poursuivre l’auto-diagnostic engagé sur la base du décret sans attendre le guide ; surveiller sa publication (elle précisera le niveau de preuve attendu par indicateur) et positionner un membre de l’équipe qualité sur un webinaire de septembre.</w:t>
      </w:r>
    </w:p>
    <w:p>
      <w:pPr>
        <w:pStyle w:val="BodyText"/>
      </w:pPr>
      <w:r>
        <w:t xml:space="preserve">Source :</w:t>
      </w:r>
      <w:r>
        <w:t xml:space="preserve"> </w:t>
      </w:r>
      <w:hyperlink r:id="rId33">
        <w:r>
          <w:rPr>
            <w:rStyle w:val="Hyperlink"/>
          </w:rPr>
          <w:t xml:space="preserve">https://www.certification-rnq.org/guide-de-lecture-qualiopi-v10-tout-ce-que-les-organismes-de-formation-doivent-savoir-avant-le-1er-novembre-2026/</w:t>
        </w:r>
      </w:hyperlink>
      <w:r>
        <w:t xml:space="preserve"> </w:t>
      </w:r>
      <w:r>
        <w:t xml:space="preserve">•</w:t>
      </w:r>
      <w:r>
        <w:t xml:space="preserve"> </w:t>
      </w:r>
      <w:hyperlink r:id="rId34">
        <w:r>
          <w:rPr>
            <w:rStyle w:val="Hyperlink"/>
          </w:rPr>
          <w:t xml:space="preserve">https://latelierduformateur.fr/agenda-du-digital-learning-et-de-lia-septembre-2026/</w:t>
        </w:r>
      </w:hyperlink>
    </w:p>
    <w:bookmarkEnd w:id="35"/>
    <w:bookmarkStart w:id="37" w:name="X2c93e35ba266e5e26f5ca5853eb9a13455efa20"/>
    <w:p>
      <w:pPr>
        <w:pStyle w:val="Heading3"/>
      </w:pPr>
      <w:r>
        <w:t xml:space="preserve">Enseignement supérieur privé : vote à l’Assemblée nationale attendu en septembre — Qualiopi étendue</w:t>
      </w:r>
    </w:p>
    <w:p>
      <w:pPr>
        <w:pStyle w:val="FirstParagraph"/>
      </w:pPr>
      <w:r>
        <w:rPr>
          <w:bCs/>
          <w:b/>
        </w:rPr>
        <w:t xml:space="preserve">septembre 2026 (adoption Sénat le 01/06/2026)</w:t>
      </w:r>
      <w:r>
        <w:t xml:space="preserve"> </w:t>
      </w:r>
      <w:r>
        <w:t xml:space="preserve">— Certif ICPF</w:t>
      </w:r>
    </w:p>
    <w:p>
      <w:pPr>
        <w:pStyle w:val="BodyText"/>
      </w:pPr>
      <w:r>
        <w:t xml:space="preserve">Le projet de loi de régulation de l’enseignement supérieur privé, adopté par le Sénat en première lecture le 1er juin, doit être examiné par l’Assemblée nationale en septembre. Il imposerait la certification Qualiopi à tous les organismes délivrant des formations visant un titre RNCP,</w:t>
      </w:r>
      <w:r>
        <w:t xml:space="preserve"> </w:t>
      </w:r>
      <w:r>
        <w:rPr>
          <w:bCs/>
          <w:b/>
        </w:rPr>
        <w:t xml:space="preserve">même sans financement public</w:t>
      </w:r>
      <w:r>
        <w:t xml:space="preserve"> </w:t>
      </w:r>
      <w:r>
        <w:t xml:space="preserve">(écoles financées uniquement par les frais de scolarité), avec un dispositif d’agrément articulé à Parcoursup pour la rentrée 2027 et une certification optionnelle de « qualité renforcée » par décret ultérieur.</w:t>
      </w:r>
    </w:p>
    <w:p>
      <w:pPr>
        <w:pStyle w:val="BodyText"/>
      </w:pPr>
      <w:r>
        <w:rPr>
          <w:iCs/>
          <w:i/>
        </w:rPr>
        <w:t xml:space="preserve">Impact pour l’organisme : élargissement probable du périmètre Qualiopi — à suivre si l’organisme (ou ses partenaires) délivre des titres RNCP hors financements publics.</w:t>
      </w:r>
    </w:p>
    <w:p>
      <w:pPr>
        <w:pStyle w:val="BodyText"/>
      </w:pPr>
      <w:r>
        <w:t xml:space="preserve">Source :</w:t>
      </w:r>
      <w:r>
        <w:t xml:space="preserve"> </w:t>
      </w:r>
      <w:hyperlink r:id="rId36">
        <w:r>
          <w:rPr>
            <w:rStyle w:val="Hyperlink"/>
          </w:rPr>
          <w:t xml:space="preserve">https://certif-icpf.org/articles/qualiopi-enseignement-superieur-vote-projet-loi-septembre-2026-assemblee-nationale</w:t>
        </w:r>
      </w:hyperlink>
    </w:p>
    <w:bookmarkEnd w:id="37"/>
    <w:bookmarkEnd w:id="38"/>
    <w:bookmarkStart w:id="43" w:name="Xbb6cb3fc6155c3b4882d70d43cd43887fab2960"/>
    <w:p>
      <w:pPr>
        <w:pStyle w:val="Heading2"/>
      </w:pPr>
      <w:r>
        <w:t xml:space="preserve">2. Veille métiers, compétences et certifications (indicateur 23)</w:t>
      </w:r>
    </w:p>
    <w:p>
      <w:pPr>
        <w:pStyle w:val="FirstParagraph"/>
      </w:pPr>
      <w:r>
        <w:rPr>
          <w:iCs/>
          <w:i/>
        </w:rPr>
        <w:t xml:space="preserve">Volet relativement calme sur la période : aucune nouvelle délibération d’enregistrement RNCP/RS de France Compétences repérée au moment de la rédaction (les commissions de rentrée sont à surveiller sur la page « délibérations » du site).</w:t>
      </w:r>
    </w:p>
    <w:bookmarkStart w:id="40" w:name="X72867668dc1a3c3b3c1805c86d3b10126a3916c"/>
    <w:p>
      <w:pPr>
        <w:pStyle w:val="Heading3"/>
      </w:pPr>
      <w:r>
        <w:t xml:space="preserve">Recrutement sans diplôme : l’exemple de la branche carrières et matériaux</w:t>
      </w:r>
    </w:p>
    <w:p>
      <w:pPr>
        <w:pStyle w:val="FirstParagraph"/>
      </w:pPr>
      <w:r>
        <w:rPr>
          <w:bCs/>
          <w:b/>
        </w:rPr>
        <w:t xml:space="preserve">12/09/2026</w:t>
      </w:r>
      <w:r>
        <w:t xml:space="preserve"> </w:t>
      </w:r>
      <w:r>
        <w:t xml:space="preserve">— Blog Benjamin Duplaa (étude de branche)</w:t>
      </w:r>
    </w:p>
    <w:p>
      <w:pPr>
        <w:pStyle w:val="BodyText"/>
      </w:pPr>
      <w:r>
        <w:t xml:space="preserve">Une étude sur la branche carrières-matériaux montre un secteur qui recrute massivement en CDI (9 salariés sur 10) sans exigence de diplôme, en s’appuyant sur la formation interne et les CACES ; seuls 27 certifiés RNCP sont produits chaque année au niveau national sur le titre de la branche.</w:t>
      </w:r>
    </w:p>
    <w:p>
      <w:pPr>
        <w:pStyle w:val="BodyText"/>
      </w:pPr>
      <w:r>
        <w:rPr>
          <w:iCs/>
          <w:i/>
        </w:rPr>
        <w:t xml:space="preserve">Impact pour l’organisme : illustre le déplacement de la demande de certaines branches vers des formats courts, internes et permis/habilitations plutôt que vers les titres RNCP — à intégrer dans l’analyse des besoins des entreprises clientes (indicateur 4) et dans la veille métiers.</w:t>
      </w:r>
    </w:p>
    <w:p>
      <w:pPr>
        <w:pStyle w:val="BodyText"/>
      </w:pPr>
      <w:r>
        <w:t xml:space="preserve">Source :</w:t>
      </w:r>
      <w:r>
        <w:t xml:space="preserve"> </w:t>
      </w:r>
      <w:hyperlink r:id="rId39">
        <w:r>
          <w:rPr>
            <w:rStyle w:val="Hyperlink"/>
          </w:rPr>
          <w:t xml:space="preserve">https://www.benjaminduplaa.com/blog/actualite-formation-professionnelle</w:t>
        </w:r>
      </w:hyperlink>
    </w:p>
    <w:bookmarkEnd w:id="40"/>
    <w:bookmarkStart w:id="41" w:name="Xa5c50d8e67406076a9330fe2427fcaa38d5e06c"/>
    <w:p>
      <w:pPr>
        <w:pStyle w:val="Heading3"/>
      </w:pPr>
      <w:r>
        <w:t xml:space="preserve">Transparence salariale : un projet de loi qui rebat les cartes de la reconversion</w:t>
      </w:r>
    </w:p>
    <w:p>
      <w:pPr>
        <w:pStyle w:val="FirstParagraph"/>
      </w:pPr>
      <w:r>
        <w:rPr>
          <w:bCs/>
          <w:b/>
        </w:rPr>
        <w:t xml:space="preserve">11/09/2026</w:t>
      </w:r>
      <w:r>
        <w:t xml:space="preserve"> </w:t>
      </w:r>
      <w:r>
        <w:t xml:space="preserve">— Blog Benjamin Duplaa</w:t>
      </w:r>
    </w:p>
    <w:p>
      <w:pPr>
        <w:pStyle w:val="BodyText"/>
      </w:pPr>
      <w:r>
        <w:t xml:space="preserve">Un projet de loi de transposition de la directive européenne sur la transparence salariale obligerait les employeurs à communiquer la fourchette de rémunération avant l’embauche. Effet attendu sur les choix de reconversion : les candidats pourront comparer objectivement les débouchés salariaux des métiers visés par les formations.</w:t>
      </w:r>
    </w:p>
    <w:p>
      <w:pPr>
        <w:pStyle w:val="BodyText"/>
      </w:pPr>
      <w:r>
        <w:rPr>
          <w:iCs/>
          <w:i/>
        </w:rPr>
        <w:t xml:space="preserve">Impact pour l’organisme : anticiper des demandes accrues d’information sur les débouchés et salaires en sortie de formation — en veillant à la fiabilité des chiffres communiqués (exigence renforcée du nouveau référentiel sur les allégations vérifiables).</w:t>
      </w:r>
    </w:p>
    <w:p>
      <w:pPr>
        <w:pStyle w:val="BodyText"/>
      </w:pPr>
      <w:r>
        <w:t xml:space="preserve">Source :</w:t>
      </w:r>
      <w:r>
        <w:t xml:space="preserve"> </w:t>
      </w:r>
      <w:hyperlink r:id="rId39">
        <w:r>
          <w:rPr>
            <w:rStyle w:val="Hyperlink"/>
          </w:rPr>
          <w:t xml:space="preserve">https://www.benjaminduplaa.com/blog/actualite-formation-professionnelle</w:t>
        </w:r>
      </w:hyperlink>
    </w:p>
    <w:bookmarkEnd w:id="41"/>
    <w:bookmarkStart w:id="42" w:name="X47292d062bd7b2705b88eca4ea1e354aafcde93"/>
    <w:p>
      <w:pPr>
        <w:pStyle w:val="Heading3"/>
      </w:pPr>
      <w:r>
        <w:t xml:space="preserve">Rappel : déclaration des blocs de compétences RNCP sur EDOF avant le 22 octobre</w:t>
      </w:r>
    </w:p>
    <w:p>
      <w:pPr>
        <w:pStyle w:val="FirstParagraph"/>
      </w:pPr>
      <w:r>
        <w:t xml:space="preserve">Voir volet 1 — cette échéance relève aussi de la gestion des certifications : le découpage en blocs de compétences des titres RNCP proposés doit être correctement renseigné pour rester visible sur Mon Compte Formation.</w:t>
      </w:r>
    </w:p>
    <w:bookmarkEnd w:id="42"/>
    <w:bookmarkEnd w:id="43"/>
    <w:bookmarkStart w:id="48" w:name="X406fcec4051a43c8b194b898d8715cc68458b80"/>
    <w:p>
      <w:pPr>
        <w:pStyle w:val="Heading2"/>
      </w:pPr>
      <w:r>
        <w:t xml:space="preserve">3. Veille sur les innovations pédagogiques et technologiques (indicateurs 24-25)</w:t>
      </w:r>
    </w:p>
    <w:bookmarkStart w:id="44" w:name="Xa36352cddecf4948db957b9a942c02b1ce2a9cc"/>
    <w:p>
      <w:pPr>
        <w:pStyle w:val="Heading3"/>
      </w:pPr>
      <w:r>
        <w:t xml:space="preserve">Rentrée du digital learning : Digital Learning Week et Corporate Learning Night</w:t>
      </w:r>
    </w:p>
    <w:p>
      <w:pPr>
        <w:pStyle w:val="FirstParagraph"/>
      </w:pPr>
      <w:r>
        <w:rPr>
          <w:bCs/>
          <w:b/>
        </w:rPr>
        <w:t xml:space="preserve">08-14/09/2026</w:t>
      </w:r>
      <w:r>
        <w:t xml:space="preserve"> </w:t>
      </w:r>
      <w:r>
        <w:t xml:space="preserve">— L’Atelier du Formateur</w:t>
      </w:r>
    </w:p>
    <w:p>
      <w:pPr>
        <w:pStyle w:val="BodyText"/>
      </w:pPr>
      <w:r>
        <w:t xml:space="preserve">La Digital Learning Week s’est tenue à Paris du 8 au 11 septembre, suivie de la 2e Corporate Learning Night le 14 septembre. Le programme de rentrée (11 événements recensés en septembre) confirme les thèmes dominants : adaptive learning et microlearning, évaluation conversationnelle par IA, hybridation des parcours, IA et expérience apprenant.</w:t>
      </w:r>
    </w:p>
    <w:p>
      <w:pPr>
        <w:pStyle w:val="BodyText"/>
      </w:pPr>
      <w:r>
        <w:rPr>
          <w:iCs/>
          <w:i/>
        </w:rPr>
        <w:t xml:space="preserve">Impact pour l’organisme : replays et synthèses mobilisables comme preuve de veille pédagogique (indicateur 24) ; les thèmes « évaluation conversationnelle » et « hybridation » peuvent alimenter l’évolution des modalités de l’organisme (indicateur 25).</w:t>
      </w:r>
    </w:p>
    <w:p>
      <w:pPr>
        <w:pStyle w:val="BodyText"/>
      </w:pPr>
      <w:r>
        <w:t xml:space="preserve">Source :</w:t>
      </w:r>
      <w:r>
        <w:t xml:space="preserve"> </w:t>
      </w:r>
      <w:hyperlink r:id="rId34">
        <w:r>
          <w:rPr>
            <w:rStyle w:val="Hyperlink"/>
          </w:rPr>
          <w:t xml:space="preserve">https://latelierduformateur.fr/agenda-du-digital-learning-et-de-lia-septembre-2026/</w:t>
        </w:r>
      </w:hyperlink>
    </w:p>
    <w:bookmarkEnd w:id="44"/>
    <w:bookmarkStart w:id="45" w:name="Xf10f5c0074797f1fd63b338ccb4c7944821605a"/>
    <w:p>
      <w:pPr>
        <w:pStyle w:val="Heading3"/>
      </w:pPr>
      <w:r>
        <w:t xml:space="preserve">IA générative d’images : des usages pédagogiques concrets en formation professionnelle</w:t>
      </w:r>
    </w:p>
    <w:p>
      <w:pPr>
        <w:pStyle w:val="FirstParagraph"/>
      </w:pPr>
      <w:r>
        <w:rPr>
          <w:bCs/>
          <w:b/>
        </w:rPr>
        <w:t xml:space="preserve">09/09/2026</w:t>
      </w:r>
      <w:r>
        <w:t xml:space="preserve"> </w:t>
      </w:r>
      <w:r>
        <w:t xml:space="preserve">— Blog Benjamin Duplaa</w:t>
      </w:r>
    </w:p>
    <w:p>
      <w:pPr>
        <w:pStyle w:val="BodyText"/>
      </w:pPr>
      <w:r>
        <w:t xml:space="preserve">Un article documente les usages pédagogiques des nouveaux générateurs d’images par IA (illustration de gestes professionnels, mises en situation visuelles) dans des formations aux métiers de l’insertion, de la formation et de l’informatique (CIP, FPA, TSSR).</w:t>
      </w:r>
    </w:p>
    <w:p>
      <w:pPr>
        <w:pStyle w:val="BodyText"/>
      </w:pPr>
      <w:r>
        <w:rPr>
          <w:iCs/>
          <w:i/>
        </w:rPr>
        <w:t xml:space="preserve">Impact pour l’organisme : piste concrète et peu coûteuse d’enrichissement des supports ; à encadrer par une charte d’usage de l’IA (droits, exactitude des contenus, conformité AI Act).</w:t>
      </w:r>
    </w:p>
    <w:p>
      <w:pPr>
        <w:pStyle w:val="BodyText"/>
      </w:pPr>
      <w:r>
        <w:t xml:space="preserve">Source :</w:t>
      </w:r>
      <w:r>
        <w:t xml:space="preserve"> </w:t>
      </w:r>
      <w:hyperlink r:id="rId39">
        <w:r>
          <w:rPr>
            <w:rStyle w:val="Hyperlink"/>
          </w:rPr>
          <w:t xml:space="preserve">https://www.benjaminduplaa.com/blog/actualite-formation-professionnelle</w:t>
        </w:r>
      </w:hyperlink>
    </w:p>
    <w:bookmarkEnd w:id="45"/>
    <w:bookmarkStart w:id="47" w:name="X17d13ced49dac3484ee15d91b28179628a34f2b"/>
    <w:p>
      <w:pPr>
        <w:pStyle w:val="Heading3"/>
      </w:pPr>
      <w:r>
        <w:t xml:space="preserve">AI Act : les obligations « haut risque » sont applicables depuis le 2 août 2026 (rappel)</w:t>
      </w:r>
    </w:p>
    <w:p>
      <w:pPr>
        <w:pStyle w:val="FirstParagraph"/>
      </w:pPr>
      <w:r>
        <w:rPr>
          <w:bCs/>
          <w:b/>
        </w:rPr>
        <w:t xml:space="preserve">en vigueur depuis le 02/08/2026</w:t>
      </w:r>
      <w:r>
        <w:t xml:space="preserve"> </w:t>
      </w:r>
      <w:r>
        <w:t xml:space="preserve">— Règlement (UE) 2024/1689</w:t>
      </w:r>
    </w:p>
    <w:p>
      <w:pPr>
        <w:pStyle w:val="BodyText"/>
      </w:pPr>
      <w:r>
        <w:t xml:space="preserve">Rappel de la fiche précédente, toujours d’actualité en cette rentrée : l’éducation et la formation professionnelle figurent parmi les domaines à haut risque du règlement européen sur l’IA. Un organisme utilisant l’IA pour le positionnement, l’évaluation des apprenants ou la surveillance d’examens est « déployeur » de système à haut risque, avec obligations de transparence, de supervision humaine et de formation des personnels à l’usage de ces systèmes (art. 4).</w:t>
      </w:r>
    </w:p>
    <w:p>
      <w:pPr>
        <w:pStyle w:val="BodyText"/>
      </w:pPr>
      <w:r>
        <w:rPr>
          <w:iCs/>
          <w:i/>
        </w:rPr>
        <w:t xml:space="preserve">Impact pour l’organisme : finaliser la cartographie des usages IA et la documentation de conformité ; former les équipes utilisatrices (preuve mobilisable indicateurs 21-22 et 25).</w:t>
      </w:r>
    </w:p>
    <w:p>
      <w:pPr>
        <w:pStyle w:val="BodyText"/>
      </w:pPr>
      <w:r>
        <w:t xml:space="preserve">Source :</w:t>
      </w:r>
      <w:r>
        <w:t xml:space="preserve"> </w:t>
      </w:r>
      <w:hyperlink r:id="rId46">
        <w:r>
          <w:rPr>
            <w:rStyle w:val="Hyperlink"/>
          </w:rPr>
          <w:t xml:space="preserve">https://www.pole-excellence-cyber.org/europe/ai-act-obligations-2-aout-2026/</w:t>
        </w:r>
      </w:hyperlink>
    </w:p>
    <w:bookmarkEnd w:id="47"/>
    <w:bookmarkEnd w:id="48"/>
    <w:bookmarkStart w:id="55" w:name="X3f0859653963368d38d74fba3081e07a4da06c8"/>
    <w:p>
      <w:pPr>
        <w:pStyle w:val="Heading2"/>
      </w:pPr>
      <w:r>
        <w:t xml:space="preserve">4. Veille handicap et accessibilité (indicateur 26)</w:t>
      </w:r>
    </w:p>
    <w:p>
      <w:pPr>
        <w:pStyle w:val="FirstParagraph"/>
      </w:pPr>
      <w:r>
        <w:rPr>
          <w:iCs/>
          <w:i/>
        </w:rPr>
        <w:t xml:space="preserve">Volet calme sur la période côté réglementaire : pas de nouveau texte repéré. L’actualité est surtout événementielle et opérationnelle.</w:t>
      </w:r>
    </w:p>
    <w:bookmarkStart w:id="50" w:name="Xe420f351676e20b875a9d73458229ac9215cccd"/>
    <w:p>
      <w:pPr>
        <w:pStyle w:val="Heading3"/>
      </w:pPr>
      <w:r>
        <w:t xml:space="preserve">SEEPH 2026 : la 30e édition aura lieu du 16 au 22 novembre</w:t>
      </w:r>
    </w:p>
    <w:p>
      <w:pPr>
        <w:pStyle w:val="FirstParagraph"/>
      </w:pPr>
      <w:r>
        <w:rPr>
          <w:bCs/>
          <w:b/>
        </w:rPr>
        <w:t xml:space="preserve">édition annoncée — échéance 16-22/11/2026</w:t>
      </w:r>
      <w:r>
        <w:t xml:space="preserve"> </w:t>
      </w:r>
      <w:r>
        <w:t xml:space="preserve">— LADAPT / Agefiph / FIPHFP</w:t>
      </w:r>
    </w:p>
    <w:p>
      <w:pPr>
        <w:pStyle w:val="BodyText"/>
      </w:pPr>
      <w:r>
        <w:t xml:space="preserve">La 30e Semaine européenne pour l’emploi des personnes handicapées se tiendra du lundi 16 au dimanche 22 novembre 2026, sur le thème « Démystifier, simplifier, accompagner. L’emploi pour toutes et tous ». Le DuoDay, journée d’immersion en duo, s’inscrit traditionnellement dans cette semaine.</w:t>
      </w:r>
    </w:p>
    <w:p>
      <w:pPr>
        <w:pStyle w:val="BodyText"/>
      </w:pPr>
      <w:r>
        <w:rPr>
          <w:iCs/>
          <w:i/>
        </w:rPr>
        <w:t xml:space="preserve">Impact pour l’organisme : programmer dès maintenant une action visible (sensibilisation interne, communication du référent handicap, accueil DuoDay) — une participation documentée constitue une preuve d’engagement pour l’indicateur 26.</w:t>
      </w:r>
    </w:p>
    <w:p>
      <w:pPr>
        <w:pStyle w:val="BodyText"/>
      </w:pPr>
      <w:r>
        <w:t xml:space="preserve">Source :</w:t>
      </w:r>
      <w:r>
        <w:t xml:space="preserve"> </w:t>
      </w:r>
      <w:hyperlink r:id="rId49">
        <w:r>
          <w:rPr>
            <w:rStyle w:val="Hyperlink"/>
          </w:rPr>
          <w:t xml:space="preserve">https://www.semaine-emploi-handicap.com/edition-2026-seeph2026</w:t>
        </w:r>
      </w:hyperlink>
    </w:p>
    <w:bookmarkEnd w:id="50"/>
    <w:bookmarkStart w:id="53" w:name="X88eb0e3160aa3eca6611a8f79e8f867e36cbd3a"/>
    <w:p>
      <w:pPr>
        <w:pStyle w:val="Heading3"/>
      </w:pPr>
      <w:r>
        <w:t xml:space="preserve">Réseaux de référents handicap et plateforme RHF : les appuis Agefiph pour la rentrée</w:t>
      </w:r>
    </w:p>
    <w:p>
      <w:pPr>
        <w:pStyle w:val="FirstParagraph"/>
      </w:pPr>
      <w:r>
        <w:rPr>
          <w:bCs/>
          <w:b/>
        </w:rPr>
        <w:t xml:space="preserve">programme 2026 en cours</w:t>
      </w:r>
      <w:r>
        <w:t xml:space="preserve"> </w:t>
      </w:r>
      <w:r>
        <w:t xml:space="preserve">— Agefiph</w:t>
      </w:r>
    </w:p>
    <w:p>
      <w:pPr>
        <w:pStyle w:val="BodyText"/>
      </w:pPr>
      <w:r>
        <w:t xml:space="preserve">L’Agefiph poursuit l’animation de ses Réseaux des Référents Handicap (programme 2026 publié, notamment en Île-de-France) et met à disposition sa plateforme Ressource Handicap Formation : auto-positionnement du niveau d’accessibilité, objectifs annuels de progrès, affiche personnalisable du référent handicap et annuaire départemental de la communauté RHF.</w:t>
      </w:r>
    </w:p>
    <w:p>
      <w:pPr>
        <w:pStyle w:val="BodyText"/>
      </w:pPr>
      <w:r>
        <w:rPr>
          <w:iCs/>
          <w:i/>
        </w:rPr>
        <w:t xml:space="preserve">Impact pour l’organisme : inscrire le référent handicap au réseau régional et utiliser l’auto-positionnement RHF pour formaliser le plan de progrès accessibilité — deux preuves directes pour l’indicateur 26.</w:t>
      </w:r>
    </w:p>
    <w:p>
      <w:pPr>
        <w:pStyle w:val="BodyText"/>
      </w:pPr>
      <w:r>
        <w:t xml:space="preserve">Source :</w:t>
      </w:r>
      <w:r>
        <w:t xml:space="preserve"> </w:t>
      </w:r>
      <w:hyperlink r:id="rId51">
        <w:r>
          <w:rPr>
            <w:rStyle w:val="Hyperlink"/>
          </w:rPr>
          <w:t xml:space="preserve">https://www.agefiph.fr/actualites-handicap/decouvrez-le-programme-2026-des-reseaux-des-referents-handicap-en-ile-de-france</w:t>
        </w:r>
      </w:hyperlink>
      <w:r>
        <w:t xml:space="preserve"> </w:t>
      </w:r>
      <w:r>
        <w:t xml:space="preserve">•</w:t>
      </w:r>
      <w:r>
        <w:t xml:space="preserve"> </w:t>
      </w:r>
      <w:hyperlink r:id="rId52">
        <w:r>
          <w:rPr>
            <w:rStyle w:val="Hyperlink"/>
          </w:rPr>
          <w:t xml:space="preserve">https://www.agefiph.fr/services/ressource-handicap-formation-acteur-formation</w:t>
        </w:r>
      </w:hyperlink>
    </w:p>
    <w:bookmarkEnd w:id="53"/>
    <w:bookmarkStart w:id="54" w:name="X8a0571236be79a17f047bf655266f6822b72391"/>
    <w:p>
      <w:pPr>
        <w:pStyle w:val="Heading3"/>
      </w:pPr>
      <w:r>
        <w:t xml:space="preserve">Le nouveau référentiel Qualiopi renforce l’axe accessibilité handicap</w:t>
      </w:r>
    </w:p>
    <w:p>
      <w:pPr>
        <w:pStyle w:val="FirstParagraph"/>
      </w:pPr>
      <w:r>
        <w:rPr>
          <w:bCs/>
          <w:b/>
        </w:rPr>
        <w:t xml:space="preserve">applicable au 01/11/2026</w:t>
      </w:r>
      <w:r>
        <w:t xml:space="preserve"> </w:t>
      </w:r>
      <w:r>
        <w:t xml:space="preserve">— décret n° 2026-728</w:t>
      </w:r>
    </w:p>
    <w:p>
      <w:pPr>
        <w:pStyle w:val="BodyText"/>
      </w:pPr>
      <w:r>
        <w:t xml:space="preserve">Les analyses du nouveau référentiel confirment un renforcement des attentes sur l’accessibilité et l’accueil des publics en situation de handicap (coordination des acteurs, mobilisation du réseau de partenaires, adaptation effective des parcours), en cohérence avec les indicateurs révisés du critère 6.</w:t>
      </w:r>
    </w:p>
    <w:p>
      <w:pPr>
        <w:pStyle w:val="BodyText"/>
      </w:pPr>
      <w:r>
        <w:rPr>
          <w:iCs/>
          <w:i/>
        </w:rPr>
        <w:t xml:space="preserve">Impact pour l’organisme : intégrer le volet handicap dans l’auto-diagnostic V10 : réseau de partenaires à jour (RHF, Agefiph, Cap emploi), preuves d’adaptations réellement mises en œuvre.</w:t>
      </w:r>
    </w:p>
    <w:p>
      <w:pPr>
        <w:pStyle w:val="BodyText"/>
      </w:pPr>
      <w:r>
        <w:t xml:space="preserve">Source :</w:t>
      </w:r>
      <w:r>
        <w:t xml:space="preserve"> </w:t>
      </w:r>
      <w:hyperlink r:id="rId31">
        <w:r>
          <w:rPr>
            <w:rStyle w:val="Hyperlink"/>
          </w:rPr>
          <w:t xml:space="preserve">https://formites.fr/rentree-2026-4-evolutions-a-integrer-dans-votre-organisation</w:t>
        </w:r>
      </w:hyperlink>
    </w:p>
    <w:bookmarkEnd w:id="54"/>
    <w:bookmarkEnd w:id="55"/>
    <w:bookmarkStart w:id="56" w:name="échéances-à-venir"/>
    <w:p>
      <w:pPr>
        <w:pStyle w:val="Heading2"/>
      </w:pPr>
      <w:r>
        <w:t xml:space="preserve">5. Échéances à venir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Échéance</w:t>
            </w:r>
          </w:p>
        </w:tc>
        <w:tc>
          <w:tcPr/>
          <w:p>
            <w:pPr>
              <w:pStyle w:val="Compact"/>
              <w:jc w:val="left"/>
            </w:pPr>
            <w:r>
              <w:t xml:space="preserve">Objet</w:t>
            </w:r>
          </w:p>
        </w:tc>
      </w:tr>
      <w:tr>
        <w:tc>
          <w:tcPr/>
          <w:p>
            <w:pPr>
              <w:pStyle w:val="Compact"/>
              <w:jc w:val="left"/>
            </w:pPr>
            <w:r>
              <w:t xml:space="preserve">22 et 29 sept. 2026</w:t>
            </w:r>
          </w:p>
        </w:tc>
        <w:tc>
          <w:tcPr/>
          <w:p>
            <w:pPr>
              <w:pStyle w:val="Compact"/>
              <w:jc w:val="left"/>
            </w:pPr>
            <w:r>
              <w:t xml:space="preserve">Webinaires d’analyse du nouveau référentiel Qualiopi et des contrôles (préparation V10)</w:t>
            </w:r>
          </w:p>
        </w:tc>
      </w:tr>
      <w:tr>
        <w:tc>
          <w:tcPr/>
          <w:p>
            <w:pPr>
              <w:pStyle w:val="Compact"/>
              <w:jc w:val="left"/>
            </w:pPr>
            <w:r>
              <w:rPr>
                <w:bCs/>
                <w:b/>
              </w:rPr>
              <w:t xml:space="preserve">30 sept. 2026</w:t>
            </w:r>
          </w:p>
        </w:tc>
        <w:tc>
          <w:tcPr/>
          <w:p>
            <w:pPr>
              <w:pStyle w:val="Compact"/>
              <w:jc w:val="left"/>
            </w:pPr>
            <w:r>
              <w:rPr>
                <w:bCs/>
                <w:b/>
              </w:rPr>
              <w:t xml:space="preserve">Date limite : déclaration de sous-traitance 2025 sur EDOF (tous organismes référencés)</w:t>
            </w:r>
          </w:p>
        </w:tc>
      </w:tr>
      <w:tr>
        <w:tc>
          <w:tcPr/>
          <w:p>
            <w:pPr>
              <w:pStyle w:val="Compact"/>
              <w:jc w:val="left"/>
            </w:pPr>
            <w:r>
              <w:t xml:space="preserve">1er oct. 2026</w:t>
            </w:r>
          </w:p>
        </w:tc>
        <w:tc>
          <w:tcPr/>
          <w:p>
            <w:pPr>
              <w:pStyle w:val="Compact"/>
              <w:jc w:val="left"/>
            </w:pPr>
            <w:r>
              <w:t xml:space="preserve">Évolution annoncée du circuit de paiement TVA/OPCO (à confirmer auprès de chaque OPCO)</w:t>
            </w:r>
          </w:p>
        </w:tc>
      </w:tr>
      <w:tr>
        <w:tc>
          <w:tcPr/>
          <w:p>
            <w:pPr>
              <w:pStyle w:val="Compact"/>
              <w:jc w:val="left"/>
            </w:pPr>
            <w:r>
              <w:t xml:space="preserve">8 oct. 2026</w:t>
            </w:r>
          </w:p>
        </w:tc>
        <w:tc>
          <w:tcPr/>
          <w:p>
            <w:pPr>
              <w:pStyle w:val="Compact"/>
              <w:jc w:val="left"/>
            </w:pPr>
            <w:r>
              <w:t xml:space="preserve">Date limite pour les branches : positionnement sur les NPEC révisés</w:t>
            </w:r>
          </w:p>
        </w:tc>
      </w:tr>
      <w:tr>
        <w:tc>
          <w:tcPr/>
          <w:p>
            <w:pPr>
              <w:pStyle w:val="Compact"/>
              <w:jc w:val="left"/>
            </w:pPr>
            <w:r>
              <w:rPr>
                <w:bCs/>
                <w:b/>
              </w:rPr>
              <w:t xml:space="preserve">22 oct. 2026</w:t>
            </w:r>
          </w:p>
        </w:tc>
        <w:tc>
          <w:tcPr/>
          <w:p>
            <w:pPr>
              <w:pStyle w:val="Compact"/>
              <w:jc w:val="left"/>
            </w:pPr>
            <w:r>
              <w:rPr>
                <w:bCs/>
                <w:b/>
              </w:rPr>
              <w:t xml:space="preserve">Date limite : déclaration des blocs de compétences RNCP sur EDOF</w:t>
            </w:r>
          </w:p>
        </w:tc>
      </w:tr>
      <w:tr>
        <w:tc>
          <w:tcPr/>
          <w:p>
            <w:pPr>
              <w:pStyle w:val="Compact"/>
              <w:jc w:val="left"/>
            </w:pPr>
            <w:r>
              <w:t xml:space="preserve">31 oct. 2026</w:t>
            </w:r>
          </w:p>
        </w:tc>
        <w:tc>
          <w:tcPr/>
          <w:p>
            <w:pPr>
              <w:pStyle w:val="Compact"/>
              <w:jc w:val="left"/>
            </w:pPr>
            <w:r>
              <w:t xml:space="preserve">Dernier jour des audits Qualiopi sur l’ancien référentiel (32 indicateurs)</w:t>
            </w:r>
          </w:p>
        </w:tc>
      </w:tr>
      <w:tr>
        <w:tc>
          <w:tcPr/>
          <w:p>
            <w:pPr>
              <w:pStyle w:val="Compact"/>
              <w:jc w:val="left"/>
            </w:pPr>
            <w:r>
              <w:t xml:space="preserve">1er nov. 2026</w:t>
            </w:r>
          </w:p>
        </w:tc>
        <w:tc>
          <w:tcPr/>
          <w:p>
            <w:pPr>
              <w:pStyle w:val="Compact"/>
              <w:jc w:val="left"/>
            </w:pPr>
            <w:r>
              <w:t xml:space="preserve">Entrée en vigueur du référentiel Qualiopi à 33 indicateurs (décret n° 2026-728)</w:t>
            </w:r>
          </w:p>
        </w:tc>
      </w:tr>
      <w:tr>
        <w:tc>
          <w:tcPr/>
          <w:p>
            <w:pPr>
              <w:pStyle w:val="Compact"/>
              <w:jc w:val="left"/>
            </w:pPr>
            <w:r>
              <w:t xml:space="preserve">16-22 nov. 2026</w:t>
            </w:r>
          </w:p>
        </w:tc>
        <w:tc>
          <w:tcPr/>
          <w:p>
            <w:pPr>
              <w:pStyle w:val="Compact"/>
              <w:jc w:val="left"/>
            </w:pPr>
            <w:r>
              <w:t xml:space="preserve">SEEPH 2026 (30e édition) et DuoDay</w:t>
            </w:r>
          </w:p>
        </w:tc>
      </w:tr>
      <w:tr>
        <w:tc>
          <w:tcPr/>
          <w:p>
            <w:pPr>
              <w:pStyle w:val="Compact"/>
              <w:jc w:val="left"/>
            </w:pPr>
            <w:r>
              <w:t xml:space="preserve">Fin 2026</w:t>
            </w:r>
          </w:p>
        </w:tc>
        <w:tc>
          <w:tcPr/>
          <w:p>
            <w:pPr>
              <w:pStyle w:val="Compact"/>
              <w:jc w:val="left"/>
            </w:pPr>
            <w:r>
              <w:t xml:space="preserve">Conclusions attendues des concertations CPF (mise en œuvre progressive dès 2027)</w:t>
            </w:r>
          </w:p>
        </w:tc>
      </w:tr>
      <w:tr>
        <w:tc>
          <w:tcPr/>
          <w:p>
            <w:pPr>
              <w:pStyle w:val="Compact"/>
              <w:jc w:val="left"/>
            </w:pPr>
            <w:r>
              <w:t xml:space="preserve">31 déc. 2026</w:t>
            </w:r>
          </w:p>
        </w:tc>
        <w:tc>
          <w:tcPr/>
          <w:p>
            <w:pPr>
              <w:pStyle w:val="Compact"/>
              <w:jc w:val="left"/>
            </w:pPr>
            <w:r>
              <w:t xml:space="preserve">Fin de l’aide exceptionnelle aux employeurs d’apprentis (contrats conclus avant cette date)</w:t>
            </w:r>
          </w:p>
        </w:tc>
      </w:tr>
    </w:tbl>
    <w:bookmarkEnd w:id="56"/>
    <w:bookmarkStart w:id="57" w:name="actions-à-prévoir"/>
    <w:p>
      <w:pPr>
        <w:pStyle w:val="Heading2"/>
      </w:pPr>
      <w:r>
        <w:t xml:space="preserve">6. Actions à prévoir</w:t>
      </w:r>
    </w:p>
    <w:p>
      <w:pPr>
        <w:numPr>
          <w:ilvl w:val="0"/>
          <w:numId w:val="1001"/>
        </w:numPr>
        <w:pStyle w:val="Compact"/>
      </w:pPr>
      <w:r>
        <w:rPr>
          <w:bCs/>
          <w:b/>
        </w:rPr>
        <w:t xml:space="preserve">Avant le 30 septembre</w:t>
      </w:r>
      <w:r>
        <w:t xml:space="preserve"> </w:t>
      </w:r>
      <w:r>
        <w:t xml:space="preserve">: effectuer la déclaration de sous-traitance 2025 sur EDOF (obligatoire même sans sous-traitance) et archiver l’accusé de dépôt.</w:t>
      </w:r>
    </w:p>
    <w:p>
      <w:pPr>
        <w:numPr>
          <w:ilvl w:val="0"/>
          <w:numId w:val="1001"/>
        </w:numPr>
        <w:pStyle w:val="Compact"/>
      </w:pPr>
      <w:r>
        <w:rPr>
          <w:bCs/>
          <w:b/>
        </w:rPr>
        <w:t xml:space="preserve">Avant le 22 octobre</w:t>
      </w:r>
      <w:r>
        <w:t xml:space="preserve"> </w:t>
      </w:r>
      <w:r>
        <w:t xml:space="preserve">: renseigner les blocs de compétences des titres RNCP proposés sur EDOF pour maintenir la visibilité des formations sur Mon Compte Formation.</w:t>
      </w:r>
    </w:p>
    <w:p>
      <w:pPr>
        <w:numPr>
          <w:ilvl w:val="0"/>
          <w:numId w:val="1001"/>
        </w:numPr>
        <w:pStyle w:val="Compact"/>
      </w:pPr>
      <w:r>
        <w:t xml:space="preserve">Si activité apprentissage : vérifier, certification par certification, les NPEC applicables aux contrats signés depuis le 1er septembre (valeurs de branche prioritaires, sinon annexe du décret n° 2026-832) et ajuster conventions et budgets.</w:t>
      </w:r>
    </w:p>
    <w:p>
      <w:pPr>
        <w:numPr>
          <w:ilvl w:val="0"/>
          <w:numId w:val="1001"/>
        </w:numPr>
        <w:pStyle w:val="Compact"/>
      </w:pPr>
      <w:r>
        <w:t xml:space="preserve">Poursuivre l’auto-diagnostic Qualiopi V10 (procédure VSS, allégations vérifiables, suivi du distanciel, sous-traitance) et surveiller la publication du guide de lecture ; inscrire un membre de l’équipe à un webinaire de préparation.</w:t>
      </w:r>
    </w:p>
    <w:p>
      <w:pPr>
        <w:numPr>
          <w:ilvl w:val="0"/>
          <w:numId w:val="1001"/>
        </w:numPr>
        <w:pStyle w:val="Compact"/>
      </w:pPr>
      <w:r>
        <w:t xml:space="preserve">Vérifier le raccordement de l’organisme à une plateforme de facturation électronique (réception obligatoire depuis le 1er septembre) et interroger les OPCO sur le circuit de paiement applicable à partir d’octobre.</w:t>
      </w:r>
    </w:p>
    <w:p>
      <w:pPr>
        <w:numPr>
          <w:ilvl w:val="0"/>
          <w:numId w:val="1001"/>
        </w:numPr>
        <w:pStyle w:val="Compact"/>
      </w:pPr>
      <w:r>
        <w:t xml:space="preserve">Suivre les concertations CPF et préparer un plan de diversification des financements pour 2027.</w:t>
      </w:r>
    </w:p>
    <w:p>
      <w:pPr>
        <w:numPr>
          <w:ilvl w:val="0"/>
          <w:numId w:val="1001"/>
        </w:numPr>
        <w:pStyle w:val="Compact"/>
      </w:pPr>
      <w:r>
        <w:t xml:space="preserve">Finaliser la cartographie des usages d’IA (positionnement, évaluation, surveillance) et la documentation de conformité AI Act ; formaliser une charte d’usage de l’IA générative dans les supports.</w:t>
      </w:r>
    </w:p>
    <w:p>
      <w:pPr>
        <w:numPr>
          <w:ilvl w:val="0"/>
          <w:numId w:val="1001"/>
        </w:numPr>
        <w:pStyle w:val="Compact"/>
      </w:pPr>
      <w:r>
        <w:t xml:space="preserve">Programmer la participation de l’organisme à la SEEPH (16-22 novembre) et/ou au DuoDay ; inscrire le référent handicap au réseau régional Agefiph et réaliser l’auto-positionnement RHF.</w:t>
      </w:r>
    </w:p>
    <w:p>
      <w:pPr>
        <w:numPr>
          <w:ilvl w:val="0"/>
          <w:numId w:val="1001"/>
        </w:numPr>
        <w:pStyle w:val="Compact"/>
      </w:pPr>
      <w:r>
        <w:t xml:space="preserve">Archiver la présente fiche dans le classeur « Veille » et tracer en réunion les décisions prises à sa lecture (preuve d’exploitation de la veille).</w:t>
      </w:r>
    </w:p>
    <w:bookmarkEnd w:id="57"/>
    <w:bookmarkStart w:id="58" w:name="méthodologie-et-sources"/>
    <w:p>
      <w:pPr>
        <w:pStyle w:val="Heading2"/>
      </w:pPr>
      <w:r>
        <w:t xml:space="preserve">Méthodologie et sources</w:t>
      </w:r>
    </w:p>
    <w:p>
      <w:pPr>
        <w:pStyle w:val="FirstParagraph"/>
      </w:pPr>
      <w:r>
        <w:t xml:space="preserve">Veille réalisée le 18 septembre 2026 par recherche systématique sur les sources officielles et professionnelles : Légifrance / Journal Officiel, France Compétences, Caisse des Dépôts (EDOF / Mon Compte Formation), OPCO 2i, Agefiph, LADAPT (SEEPH), ainsi que la presse spécialisée (Certiforma, Certif ICPF, Certification RNQ, Formites, Millorem, Mon Pôle Formation, L’Atelier du Formateur, blog Benjamin Duplaa). Chaque information est datée et accompagnée de l’URL de sa source. Notes : à la suite de la liquidation judiciaire de Centre Inffo (juillet 2026), le « Quotidien de la formation » n’alimente plus la veille ; le guide de lecture Qualiopi V10 n’était pas publié à la date de rédaction ; aucune nouvelle délibération d’enregistrement RNCP/RS n’a été repérée sur la période.</w:t>
      </w:r>
    </w:p>
    <w:p>
      <w:pPr>
        <w:pStyle w:val="BodyText"/>
      </w:pPr>
      <w:r>
        <w:rPr>
          <w:iCs/>
          <w:i/>
        </w:rPr>
        <w:t xml:space="preserve">Fiche générée et archivée automatiquement — veille Qualiopi critère 6.</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certif-icpf.org/articles/qualiopi-enseignement-superieur-vote-projet-loi-septembre-2026-assemblee-nationale" TargetMode="External" /><Relationship Type="http://schemas.openxmlformats.org/officeDocument/2006/relationships/hyperlink" Id="rId26" Target="https://certiforma.fr/edof-declarations-sous-traitance-blocs-competences-2026/" TargetMode="External" /><Relationship Type="http://schemas.openxmlformats.org/officeDocument/2006/relationships/hyperlink" Id="rId21" Target="https://certiforma.fr/npec-decret-2026-832-septembre-2026/" TargetMode="External" /><Relationship Type="http://schemas.openxmlformats.org/officeDocument/2006/relationships/hyperlink" Id="rId31" Target="https://formites.fr/rentree-2026-4-evolutions-a-integrer-dans-votre-organisation" TargetMode="External" /><Relationship Type="http://schemas.openxmlformats.org/officeDocument/2006/relationships/hyperlink" Id="rId34" Target="https://latelierduformateur.fr/agenda-du-digital-learning-et-de-lia-septembre-2026/" TargetMode="External" /><Relationship Type="http://schemas.openxmlformats.org/officeDocument/2006/relationships/hyperlink" Id="rId29" Target="https://monpoleformation.fr/cpf-2026-concertations-ministere-travail-septembre/" TargetMode="External" /><Relationship Type="http://schemas.openxmlformats.org/officeDocument/2006/relationships/hyperlink" Id="rId51" Target="https://www.agefiph.fr/actualites-handicap/decouvrez-le-programme-2026-des-reseaux-des-referents-handicap-en-ile-de-france" TargetMode="External" /><Relationship Type="http://schemas.openxmlformats.org/officeDocument/2006/relationships/hyperlink" Id="rId52" Target="https://www.agefiph.fr/services/ressource-handicap-formation-acteur-formation" TargetMode="External" /><Relationship Type="http://schemas.openxmlformats.org/officeDocument/2006/relationships/hyperlink" Id="rId39" Target="https://www.benjaminduplaa.com/blog/actualite-formation-professionnelle" TargetMode="External" /><Relationship Type="http://schemas.openxmlformats.org/officeDocument/2006/relationships/hyperlink" Id="rId33" Target="https://www.certification-rnq.org/guide-de-lecture-qualiopi-v10-tout-ce-que-les-organismes-de-formation-doivent-savoir-avant-le-1er-novembre-2026/" TargetMode="External" /><Relationship Type="http://schemas.openxmlformats.org/officeDocument/2006/relationships/hyperlink" Id="rId24" Target="https://www.francecompetences.fr/fiche/france-competences-publie-le-referentiel-complet-des-niveaux-de-prise-en-charge-des-contrats-dapprentissage-npec/" TargetMode="External" /><Relationship Type="http://schemas.openxmlformats.org/officeDocument/2006/relationships/hyperlink" Id="rId27" Target="https://www.millorem-formations.fr/sous-traitance-cpf-2026-declaration-avant-le-30-septembre/" TargetMode="External" /><Relationship Type="http://schemas.openxmlformats.org/officeDocument/2006/relationships/hyperlink" Id="rId22" Target="https://www.opco2i.fr/apprentissage-nouveaux-niveaux-de-prise-en-charge-pour-les-contrats-conclus-des-le-1er-septembre-2026/" TargetMode="External" /><Relationship Type="http://schemas.openxmlformats.org/officeDocument/2006/relationships/hyperlink" Id="rId46" Target="https://www.pole-excellence-cyber.org/europe/ai-act-obligations-2-aout-2026/" TargetMode="External" /><Relationship Type="http://schemas.openxmlformats.org/officeDocument/2006/relationships/hyperlink" Id="rId49" Target="https://www.semaine-emploi-handicap.com/edition-2026-seeph2026" TargetMode="External" /></Relationships>
</file>

<file path=word/_rels/footnotes.xml.rels><?xml version="1.0" encoding="UTF-8"?><Relationships xmlns="http://schemas.openxmlformats.org/package/2006/relationships"><Relationship Type="http://schemas.openxmlformats.org/officeDocument/2006/relationships/hyperlink" Id="rId36" Target="https://certif-icpf.org/articles/qualiopi-enseignement-superieur-vote-projet-loi-septembre-2026-assemblee-nationale" TargetMode="External" /><Relationship Type="http://schemas.openxmlformats.org/officeDocument/2006/relationships/hyperlink" Id="rId26" Target="https://certiforma.fr/edof-declarations-sous-traitance-blocs-competences-2026/" TargetMode="External" /><Relationship Type="http://schemas.openxmlformats.org/officeDocument/2006/relationships/hyperlink" Id="rId21" Target="https://certiforma.fr/npec-decret-2026-832-septembre-2026/" TargetMode="External" /><Relationship Type="http://schemas.openxmlformats.org/officeDocument/2006/relationships/hyperlink" Id="rId31" Target="https://formites.fr/rentree-2026-4-evolutions-a-integrer-dans-votre-organisation" TargetMode="External" /><Relationship Type="http://schemas.openxmlformats.org/officeDocument/2006/relationships/hyperlink" Id="rId34" Target="https://latelierduformateur.fr/agenda-du-digital-learning-et-de-lia-septembre-2026/" TargetMode="External" /><Relationship Type="http://schemas.openxmlformats.org/officeDocument/2006/relationships/hyperlink" Id="rId29" Target="https://monpoleformation.fr/cpf-2026-concertations-ministere-travail-septembre/" TargetMode="External" /><Relationship Type="http://schemas.openxmlformats.org/officeDocument/2006/relationships/hyperlink" Id="rId51" Target="https://www.agefiph.fr/actualites-handicap/decouvrez-le-programme-2026-des-reseaux-des-referents-handicap-en-ile-de-france" TargetMode="External" /><Relationship Type="http://schemas.openxmlformats.org/officeDocument/2006/relationships/hyperlink" Id="rId52" Target="https://www.agefiph.fr/services/ressource-handicap-formation-acteur-formation" TargetMode="External" /><Relationship Type="http://schemas.openxmlformats.org/officeDocument/2006/relationships/hyperlink" Id="rId39" Target="https://www.benjaminduplaa.com/blog/actualite-formation-professionnelle" TargetMode="External" /><Relationship Type="http://schemas.openxmlformats.org/officeDocument/2006/relationships/hyperlink" Id="rId33" Target="https://www.certification-rnq.org/guide-de-lecture-qualiopi-v10-tout-ce-que-les-organismes-de-formation-doivent-savoir-avant-le-1er-novembre-2026/" TargetMode="External" /><Relationship Type="http://schemas.openxmlformats.org/officeDocument/2006/relationships/hyperlink" Id="rId24" Target="https://www.francecompetences.fr/fiche/france-competences-publie-le-referentiel-complet-des-niveaux-de-prise-en-charge-des-contrats-dapprentissage-npec/" TargetMode="External" /><Relationship Type="http://schemas.openxmlformats.org/officeDocument/2006/relationships/hyperlink" Id="rId27" Target="https://www.millorem-formations.fr/sous-traitance-cpf-2026-declaration-avant-le-30-septembre/" TargetMode="External" /><Relationship Type="http://schemas.openxmlformats.org/officeDocument/2006/relationships/hyperlink" Id="rId22" Target="https://www.opco2i.fr/apprentissage-nouveaux-niveaux-de-prise-en-charge-pour-les-contrats-conclus-des-le-1er-septembre-2026/" TargetMode="External" /><Relationship Type="http://schemas.openxmlformats.org/officeDocument/2006/relationships/hyperlink" Id="rId46" Target="https://www.pole-excellence-cyber.org/europe/ai-act-obligations-2-aout-2026/" TargetMode="External" /><Relationship Type="http://schemas.openxmlformats.org/officeDocument/2006/relationships/hyperlink" Id="rId49" Target="https://www.semaine-emploi-handicap.com/edition-2026-seeph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2026-10-12T05:15:03Z</dcterms:created>
  <dcterms:modified xsi:type="dcterms:W3CDTF">2026-10-12T05:15:03Z</dcterms:modified>
</cp:coreProperties>
</file>

<file path=docProps/custom.xml><?xml version="1.0" encoding="utf-8"?>
<Properties xmlns="http://schemas.openxmlformats.org/officeDocument/2006/custom-properties" xmlns:vt="http://schemas.openxmlformats.org/officeDocument/2006/docPropsVTypes"/>
</file>