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fiche-de-veille-qualiopi-critère-6"/>
    <w:p>
      <w:pPr>
        <w:pStyle w:val="Heading1"/>
      </w:pPr>
      <w:r>
        <w:t xml:space="preserve">FICHE DE VEILLE — QUALIOPI CRITÈRE 6</w:t>
      </w:r>
    </w:p>
    <w:p>
      <w:pPr>
        <w:pStyle w:val="FirstParagraph"/>
      </w:pPr>
      <w:r>
        <w:rPr>
          <w:iCs/>
          <w:i/>
        </w:rPr>
        <w:t xml:space="preserve">Veille légale, réglementaire, métiers, pédagogique et handicap (indicateurs 23 à 26)</w:t>
      </w:r>
    </w:p>
    <w:p>
      <w:pPr>
        <w:pStyle w:val="BodyText"/>
      </w:pPr>
      <w:r>
        <w:rPr>
          <w:bCs/>
          <w:b/>
        </w:rPr>
        <w:t xml:space="preserve">Fiche n° 2026-05 • Réalisée le 5 octobre 2026 • Période couverte : 29 septembre – 5 octobre 2026</w:t>
      </w:r>
    </w:p>
    <w:p>
      <w:pPr>
        <w:pStyle w:val="BodyText"/>
      </w:pPr>
      <w:r>
        <w:rPr>
          <w:bCs/>
          <w:b/>
        </w:rPr>
        <w:t xml:space="preserve">Organisme :</w:t>
      </w:r>
      <w:r>
        <w:t xml:space="preserve"> </w:t>
      </w:r>
      <w:r>
        <w:t xml:space="preserve">________________________</w:t>
      </w:r>
      <w:r>
        <w:t xml:space="preserve"> </w:t>
      </w:r>
      <w:r>
        <w:rPr>
          <w:bCs/>
          <w:b/>
        </w:rPr>
        <w:t xml:space="preserve">Visa du responsable :</w:t>
      </w:r>
      <w:r>
        <w:t xml:space="preserve"> </w:t>
      </w:r>
      <w:r>
        <w:t xml:space="preserve">____________</w:t>
      </w:r>
    </w:p>
    <w:bookmarkStart w:id="20" w:name="à-la-une-le-fait-marquant-de-la-période"/>
    <w:p>
      <w:pPr>
        <w:pStyle w:val="Heading2"/>
      </w:pPr>
      <w:r>
        <w:t xml:space="preserve">À la une — le fait marquant de la période</w:t>
      </w:r>
    </w:p>
    <w:p>
      <w:pPr>
        <w:pStyle w:val="FirstParagraph"/>
      </w:pPr>
      <w:r>
        <w:rPr>
          <w:bCs/>
          <w:b/>
        </w:rPr>
        <w:t xml:space="preserve">CPF : le reste à charge augmente dès maintenant — complément jusqu’à 200 € pour les dossiers validés à compter du 2 octobre.</w:t>
      </w:r>
      <w:r>
        <w:t xml:space="preserve"> </w:t>
      </w:r>
      <w:r>
        <w:t xml:space="preserve">Le PLF 2027, présenté en Conseil des ministres le 1er octobre, confirme le durcissement annoncé : participation forfaitaire portée vers 300-350 € pour les formations « non prioritaires », enveloppe CPF ramenée de 2 Md€ à 1,3 Md€, et suppression des crédits d’État des Pactes régionaux (Pric : 527 M€ → 0 €). Surtout, la Caisse des Dépôts a publié le 2 octobre une information officielle sur Mon Compte Formation : les titulaires qui valident un dossier</w:t>
      </w:r>
      <w:r>
        <w:t xml:space="preserve"> </w:t>
      </w:r>
      <w:r>
        <w:rPr>
          <w:bCs/>
          <w:b/>
        </w:rPr>
        <w:t xml:space="preserve">à compter du 2 octobre 2026</w:t>
      </w:r>
      <w:r>
        <w:t xml:space="preserve"> </w:t>
      </w:r>
      <w:r>
        <w:t xml:space="preserve">s’engagent à verser « le cas échéant, en 2027, un complément de participation obligatoire pouvant atteindre 200 € » — une application anticipée, avant même le vote de la loi, qui pèsera immédiatement sur la décision d’achat des stagiaires. Exonérations prévues : secteurs prioritaires, cofinancement d’un tiers (employeur, région) d’au moins 150 €, certains demandeurs d’emploi, VAE, bilans de compétences, PTP. Dans le même temps, le guide de lecture Qualiopi V10 n’était toujours pas repéré comme publié au 5 octobre, à moins de 4 semaines de l’entrée en vigueur du référentiel à 33 indicateurs.</w:t>
      </w:r>
    </w:p>
    <w:bookmarkEnd w:id="20"/>
    <w:bookmarkStart w:id="36" w:name="X5876ee4bbe0bd103dff81c4f15b870aca873b7a"/>
    <w:p>
      <w:pPr>
        <w:pStyle w:val="Heading2"/>
      </w:pPr>
      <w:r>
        <w:t xml:space="preserve">1. Veille légale et réglementaire (indicateur 23)</w:t>
      </w:r>
    </w:p>
    <w:bookmarkStart w:id="23" w:name="Xd6f952c0af45250096cfb9cfa87586f9f3af240"/>
    <w:p>
      <w:pPr>
        <w:pStyle w:val="Heading3"/>
      </w:pPr>
      <w:r>
        <w:t xml:space="preserve">PLF 2027 présenté le 1er octobre : la formation professionnelle fortement mise à contribution</w:t>
      </w:r>
    </w:p>
    <w:p>
      <w:pPr>
        <w:pStyle w:val="FirstParagraph"/>
      </w:pPr>
      <w:r>
        <w:rPr>
          <w:bCs/>
          <w:b/>
        </w:rPr>
        <w:t xml:space="preserve">30/09 – 01/10/2026</w:t>
      </w:r>
      <w:r>
        <w:t xml:space="preserve"> </w:t>
      </w:r>
      <w:r>
        <w:t xml:space="preserve">— Conseil des ministres / Acteurs de la Compétence et Synofdes / presse spécialisée</w:t>
      </w:r>
    </w:p>
    <w:p>
      <w:pPr>
        <w:pStyle w:val="BodyText"/>
      </w:pPr>
      <w:r>
        <w:t xml:space="preserve">Le projet de loi de finances pour 2027, présenté le 1er octobre en Conseil des ministres, concrétise les 2,5 Md€ d’économies demandées au ministère du Travail : participation forfaitaire CPF portée vers 300-350 € pour les formations non prioritaires (150 € aujourd’hui), enveloppe CPF réduite de 2 Md€ à 1,3 Md€, suppression complète des crédits d’État des Pric (527 M€ en 2026 → 0 € en 2027), recul attendu des entrées en apprentissage (-2,2 %, avec des baisses de 10 à 30 % dans le supérieur). Les Acteurs de la Compétence et le Synofdes alertent conjointement : « la filière aborde ce budget dans l’état le plus fragile qu’elle ait connu » (80 % des organismes confrontés à des restrictions budgétaires, 39 % ayant supprimé des emplois depuis janvier 2026). Les fédérations redoutent en outre que les paramètres clés du CPF restent au niveau réglementaire (décrets), échappant au vote parlementaire. Débats au Parlement jusqu’en décembre.</w:t>
      </w:r>
    </w:p>
    <w:p>
      <w:pPr>
        <w:pStyle w:val="BodyText"/>
      </w:pPr>
      <w:r>
        <w:rPr>
          <w:iCs/>
          <w:i/>
        </w:rPr>
        <w:t xml:space="preserve">Impact pour l’organisme : le scénario « repli du CPF en 2027 » esquissé dans la fiche précédente se confirme texte en main ; consolider le budget prévisionnel 2027 avec une hypothèse basse sur le CPF et les Pric (si l’organisme émarge aux programmes régionaux), et documenter cette analyse en revue de direction (preuve d’exploitation de la veille).</w:t>
      </w:r>
    </w:p>
    <w:p>
      <w:pPr>
        <w:pStyle w:val="BodyText"/>
      </w:pPr>
      <w:r>
        <w:t xml:space="preserve">Source :</w:t>
      </w:r>
      <w:r>
        <w:t xml:space="preserve"> </w:t>
      </w:r>
      <w:hyperlink r:id="rId21">
        <w:r>
          <w:rPr>
            <w:rStyle w:val="Hyperlink"/>
          </w:rPr>
          <w:t xml:space="preserve">https://cpformation.com/plf-2027-la-filiere-formation-alerte-sur-le-cpf-les-pric-et-lapprentissage/</w:t>
        </w:r>
      </w:hyperlink>
      <w:r>
        <w:t xml:space="preserve"> </w:t>
      </w:r>
      <w:r>
        <w:t xml:space="preserve">•</w:t>
      </w:r>
      <w:r>
        <w:t xml:space="preserve"> </w:t>
      </w:r>
      <w:hyperlink r:id="rId22">
        <w:r>
          <w:rPr>
            <w:rStyle w:val="Hyperlink"/>
          </w:rPr>
          <w:t xml:space="preserve">https://www.revue-fiduciaire.com/actualite/article/cpf-apprentissage-emploi-des-jeunes-les-mesures-emploi-et-formation-du-plf-2027-11c20b04-9099-86a1-9c45-fcabb37be158</w:t>
        </w:r>
      </w:hyperlink>
    </w:p>
    <w:bookmarkEnd w:id="23"/>
    <w:bookmarkStart w:id="27" w:name="X626f7d5a0635207a177b0f20755fe2d63fc2360"/>
    <w:p>
      <w:pPr>
        <w:pStyle w:val="Heading3"/>
      </w:pPr>
      <w:r>
        <w:t xml:space="preserve">CPF : complément de participation jusqu’à 200 € pour les dossiers validés dès le 2 octobre 2026</w:t>
      </w:r>
    </w:p>
    <w:p>
      <w:pPr>
        <w:pStyle w:val="FirstParagraph"/>
      </w:pPr>
      <w:r>
        <w:rPr>
          <w:bCs/>
          <w:b/>
        </w:rPr>
        <w:t xml:space="preserve">02/10/2026</w:t>
      </w:r>
      <w:r>
        <w:t xml:space="preserve"> </w:t>
      </w:r>
      <w:r>
        <w:t xml:space="preserve">— Caisse des Dépôts / Mon Compte Formation (information officielle)</w:t>
      </w:r>
    </w:p>
    <w:p>
      <w:pPr>
        <w:pStyle w:val="BodyText"/>
      </w:pPr>
      <w:r>
        <w:t xml:space="preserve">La Caisse des Dépôts informe officiellement les titulaires : pour toute demande de formation</w:t>
      </w:r>
      <w:r>
        <w:t xml:space="preserve"> </w:t>
      </w:r>
      <w:r>
        <w:rPr>
          <w:bCs/>
          <w:b/>
        </w:rPr>
        <w:t xml:space="preserve">validée à compter du 2 octobre 2026</w:t>
      </w:r>
      <w:r>
        <w:t xml:space="preserve">, le titulaire s’engage à verser, le cas échéant, en 2027, un complément de participation obligatoire « qui pourrait atteindre 200 € », dont le montant exact sera fixé après adoption du PLF 2027 et publication des textes d’application. Ne seraient pas concernés : les formations des secteurs jugés prioritaires (défense, industrie, numérique…), les dossiers cofinancés par un tiers (employeur, région) à hauteur d’au moins 150 €, certains demandeurs d’emploi, la VAE, les bilans de compétences, les PTP et le DIF des élus. La presse spécialisée souligne le caractère inédit du mécanisme (engagement sur un montant encore indéterminé, applicable avant le vote de la loi) et son effet dissuasif probable sur les « petits paniers ». Corollaire mis en avant côté entreprises : un cofinancement employeur de 150 € exonère le salarié du complément — un argument commercial nouveau pour les organismes.</w:t>
      </w:r>
    </w:p>
    <w:p>
      <w:pPr>
        <w:pStyle w:val="BodyText"/>
      </w:pPr>
      <w:r>
        <w:rPr>
          <w:iCs/>
          <w:i/>
        </w:rPr>
        <w:t xml:space="preserve">Impact pour l’organisme : informer sans délai les équipes commerciales et les prospects CPF (le coût final pour le stagiaire change dès maintenant) ; mettre à jour les parcours d’inscription et devis pour mentionner ce complément éventuel (transparence de l’information, critère 1) ; systématiser la proposition de cofinancement employeur ≥ 150 € et vérifier si l’offre relève des secteurs prioritaires exonérés (liste à paraître par décret/arrêté).</w:t>
      </w:r>
    </w:p>
    <w:p>
      <w:pPr>
        <w:pStyle w:val="BodyText"/>
      </w:pPr>
      <w:r>
        <w:t xml:space="preserve">Source :</w:t>
      </w:r>
      <w:r>
        <w:t xml:space="preserve"> </w:t>
      </w:r>
      <w:hyperlink r:id="rId24">
        <w:r>
          <w:rPr>
            <w:rStyle w:val="Hyperlink"/>
          </w:rPr>
          <w:t xml:space="preserve">https://www.moncompteformation.gouv.fr/espace-public/evolution-des-regles-dutilisation-du-cpf-compter-du-2-octobre-2026</w:t>
        </w:r>
      </w:hyperlink>
      <w:r>
        <w:t xml:space="preserve"> </w:t>
      </w:r>
      <w:r>
        <w:t xml:space="preserve">•</w:t>
      </w:r>
      <w:r>
        <w:t xml:space="preserve"> </w:t>
      </w:r>
      <w:hyperlink r:id="rId25">
        <w:r>
          <w:rPr>
            <w:rStyle w:val="Hyperlink"/>
          </w:rPr>
          <w:t xml:space="preserve">https://cpformation.com/cpf-vous-pouvez-acheter-aujourdhui-et-payer-jusqua-200-e-de-plus-en-2027/</w:t>
        </w:r>
      </w:hyperlink>
      <w:r>
        <w:t xml:space="preserve"> </w:t>
      </w:r>
      <w:r>
        <w:t xml:space="preserve">•</w:t>
      </w:r>
      <w:r>
        <w:t xml:space="preserve"> </w:t>
      </w:r>
      <w:hyperlink r:id="rId26">
        <w:r>
          <w:rPr>
            <w:rStyle w:val="Hyperlink"/>
          </w:rPr>
          <w:t xml:space="preserve">https://tpeactu.fr/2026/10/04/cpf-employeur-150-euros-formation-salarie-budget-2027/</w:t>
        </w:r>
      </w:hyperlink>
    </w:p>
    <w:bookmarkEnd w:id="27"/>
    <w:bookmarkStart w:id="30" w:name="X5fc9876ed382a2f8f045cc40d0a0abc1de8d94c"/>
    <w:p>
      <w:pPr>
        <w:pStyle w:val="Heading3"/>
      </w:pPr>
      <w:r>
        <w:t xml:space="preserve">OPCO : bascule du 1er octobre (fin du régime dérogatoire de TVA / subrogation) — à vérifier auprès de chaque OPCO</w:t>
      </w:r>
    </w:p>
    <w:p>
      <w:pPr>
        <w:pStyle w:val="FirstParagraph"/>
      </w:pPr>
      <w:r>
        <w:rPr>
          <w:bCs/>
          <w:b/>
        </w:rPr>
        <w:t xml:space="preserve">entrée en vigueur au 01/10/2026</w:t>
      </w:r>
      <w:r>
        <w:t xml:space="preserve"> </w:t>
      </w:r>
      <w:r>
        <w:t xml:space="preserve">— analyses spécialisées (à confirmer sur textes officiels)</w:t>
      </w:r>
    </w:p>
    <w:p>
      <w:pPr>
        <w:pStyle w:val="BodyText"/>
      </w:pPr>
      <w:r>
        <w:t xml:space="preserve">Selon les analyses publiées avant l’été, la suppression du régime dérogatoire de TVA des OPCO s’applique aux engagements et accords de prise en charge émis à partir du 1er octobre 2026, avec pour conséquence pratique la fin de la subrogation de paiement dans de nombreux cas (l’entreprise avance les frais puis se fait rembourser) et une remise en cause des référencements imposés. Aucun texte officiel consolidé n’a pu être vérifié directement à la date de rédaction ; les modalités varient selon les OPCO. L’échéance étant désormais passée, les premiers dossiers concernés arrivent.</w:t>
      </w:r>
    </w:p>
    <w:p>
      <w:pPr>
        <w:pStyle w:val="BodyText"/>
      </w:pPr>
      <w:r>
        <w:rPr>
          <w:iCs/>
          <w:i/>
        </w:rPr>
        <w:t xml:space="preserve">Impact pour l’organisme : vérifier auprès de chaque OPCO partenaire les modalités effectives de prise en charge et de facturation applicables aux accords émis depuis le 1er octobre (subrogation maintenue ou non, circuit de facturation, mentions TVA) ; adapter les conditions de règlement des conventions entreprises en conséquence et sécuriser la trésorerie.</w:t>
      </w:r>
    </w:p>
    <w:p>
      <w:pPr>
        <w:pStyle w:val="BodyText"/>
      </w:pPr>
      <w:r>
        <w:t xml:space="preserve">Source :</w:t>
      </w:r>
      <w:r>
        <w:t xml:space="preserve"> </w:t>
      </w:r>
      <w:hyperlink r:id="rId28">
        <w:r>
          <w:rPr>
            <w:rStyle w:val="Hyperlink"/>
          </w:rPr>
          <w:t xml:space="preserve">https://cpformation.com/octobre-2026-lopco-ne-choisira-plus-vos-organismes-de-formation-a-votre-place/</w:t>
        </w:r>
      </w:hyperlink>
      <w:r>
        <w:t xml:space="preserve"> </w:t>
      </w:r>
      <w:r>
        <w:t xml:space="preserve">•</w:t>
      </w:r>
      <w:r>
        <w:t xml:space="preserve"> </w:t>
      </w:r>
      <w:hyperlink r:id="rId29">
        <w:r>
          <w:rPr>
            <w:rStyle w:val="Hyperlink"/>
          </w:rPr>
          <w:t xml:space="preserve">https://monpoleformation.fr/opco-fin-selection-imposee-organismes-formation-octobre-2026/</w:t>
        </w:r>
      </w:hyperlink>
    </w:p>
    <w:bookmarkEnd w:id="30"/>
    <w:bookmarkStart w:id="33" w:name="X231c4318ebf0c8cd08700a69ffad860002af9bc"/>
    <w:p>
      <w:pPr>
        <w:pStyle w:val="Heading3"/>
      </w:pPr>
      <w:r>
        <w:t xml:space="preserve">Qualiopi V10 : à J-27, toujours ni guide de lecture ni arrêtés indicateurs 19-20 repérés</w:t>
      </w:r>
    </w:p>
    <w:p>
      <w:pPr>
        <w:pStyle w:val="FirstParagraph"/>
      </w:pPr>
      <w:r>
        <w:rPr>
          <w:bCs/>
          <w:b/>
        </w:rPr>
        <w:t xml:space="preserve">au 05/10/2026</w:t>
      </w:r>
      <w:r>
        <w:t xml:space="preserve"> </w:t>
      </w:r>
      <w:r>
        <w:t xml:space="preserve">— Ministère du Travail / analyses spécialisées</w:t>
      </w:r>
    </w:p>
    <w:p>
      <w:pPr>
        <w:pStyle w:val="BodyText"/>
      </w:pPr>
      <w:r>
        <w:t xml:space="preserve">À moins de quatre semaines de l’entrée en vigueur du référentiel à 33 indicateurs (décret n° 2026-728, applicable au 1er novembre 2026), aucune publication du guide de lecture V10 ni des arrêtés attendus sur les indicateurs 19 (formation à distance) et 20 (effectifs permanents) n’a été repérée au 5 octobre, ni sur les sources secondaires spécialisées, ni via la page ministérielle « Référentiel national qualité » (dont l’accès direct restait entravé par un dispositif anti-robots à la date de rédaction). Seul le décret du 1er août 2026 fait foi : l’exigence est connue, pas encore la façon dont elle sera auditée.</w:t>
      </w:r>
    </w:p>
    <w:p>
      <w:pPr>
        <w:pStyle w:val="BodyText"/>
      </w:pPr>
      <w:r>
        <w:rPr>
          <w:iCs/>
          <w:i/>
        </w:rPr>
        <w:t xml:space="preserve">Impact pour l’organisme : maintenir l’auto-diagnostic V10 sur la base du décret (allégations publiques, sous-traitance, traçabilité du distanciel) ; conserver la vérification hebdomadaire de la page ministérielle ; tracer cette absence de publication dans le registre de veille — c’est en soi une preuve de suivi pour l’indicateur 23.</w:t>
      </w:r>
    </w:p>
    <w:p>
      <w:pPr>
        <w:pStyle w:val="BodyText"/>
      </w:pPr>
      <w:r>
        <w:t xml:space="preserve">Source :</w:t>
      </w:r>
      <w:r>
        <w:t xml:space="preserve"> </w:t>
      </w:r>
      <w:hyperlink r:id="rId31">
        <w:r>
          <w:rPr>
            <w:rStyle w:val="Hyperlink"/>
          </w:rPr>
          <w:t xml:space="preserve">https://certiforma.fr/qualiopi-v10/</w:t>
        </w:r>
      </w:hyperlink>
      <w:r>
        <w:t xml:space="preserve"> </w:t>
      </w:r>
      <w:r>
        <w:t xml:space="preserve">•</w:t>
      </w:r>
      <w:r>
        <w:t xml:space="preserve"> </w:t>
      </w:r>
      <w:hyperlink r:id="rId32">
        <w:r>
          <w:rPr>
            <w:rStyle w:val="Hyperlink"/>
          </w:rPr>
          <w:t xml:space="preserve">https://travail-emploi.gouv.fr/referentiel-national-qualite-guide-de-lecture-qualiopi</w:t>
        </w:r>
      </w:hyperlink>
    </w:p>
    <w:bookmarkEnd w:id="33"/>
    <w:bookmarkStart w:id="35" w:name="Xdf5190510c8e554f682d3f1e9512485295f1597"/>
    <w:p>
      <w:pPr>
        <w:pStyle w:val="Heading3"/>
      </w:pPr>
      <w:r>
        <w:t xml:space="preserve">EDOF : mise à jour du 1er octobre sur l’import XML — blocs de compétences obligatoires au 22 octobre</w:t>
      </w:r>
    </w:p>
    <w:p>
      <w:pPr>
        <w:pStyle w:val="FirstParagraph"/>
      </w:pPr>
      <w:r>
        <w:rPr>
          <w:bCs/>
          <w:b/>
        </w:rPr>
        <w:t xml:space="preserve">01/10/2026</w:t>
      </w:r>
      <w:r>
        <w:t xml:space="preserve"> </w:t>
      </w:r>
      <w:r>
        <w:t xml:space="preserve">— Caisse des Dépôts / portail EDOF (actualités organismes)</w:t>
      </w:r>
    </w:p>
    <w:p>
      <w:pPr>
        <w:pStyle w:val="BodyText"/>
      </w:pPr>
      <w:r>
        <w:t xml:space="preserve">Le portail des organismes EDOF a publié le 1er octobre une mise à jour des documents d’import de catalogue par fichier XML : les données relatives aux blocs de compétences deviennent obligatoires à compter du 22 octobre 2026. Les formations certifiantes RNCP dont les blocs ne seraient pas renseignés perdront en visibilité sur Mon Compte Formation (retrait du moteur de recherche).</w:t>
      </w:r>
    </w:p>
    <w:p>
      <w:pPr>
        <w:pStyle w:val="BodyText"/>
      </w:pPr>
      <w:r>
        <w:rPr>
          <w:iCs/>
          <w:i/>
        </w:rPr>
        <w:t xml:space="preserve">Impact pour l’organisme : si le catalogue est alimenté par import XML, mettre à jour les fichiers avec la nouvelle documentation avant le 22 octobre ; sinon, renseigner manuellement les blocs de compétences des titres RNCP dans EDOF — échéance identique.</w:t>
      </w:r>
    </w:p>
    <w:p>
      <w:pPr>
        <w:pStyle w:val="BodyText"/>
      </w:pPr>
      <w:r>
        <w:t xml:space="preserve">Source :</w:t>
      </w:r>
      <w:r>
        <w:t xml:space="preserve"> </w:t>
      </w:r>
      <w:hyperlink r:id="rId34">
        <w:r>
          <w:rPr>
            <w:rStyle w:val="Hyperlink"/>
          </w:rPr>
          <w:t xml:space="preserve">https://of.moncompteformation.gouv.fr/espace-public/ressources/actualites</w:t>
        </w:r>
      </w:hyperlink>
    </w:p>
    <w:bookmarkEnd w:id="35"/>
    <w:bookmarkEnd w:id="36"/>
    <w:bookmarkStart w:id="44" w:name="Xbb6cb3fc6155c3b4882d70d43cd43887fab2960"/>
    <w:p>
      <w:pPr>
        <w:pStyle w:val="Heading2"/>
      </w:pPr>
      <w:r>
        <w:t xml:space="preserve">2. Veille métiers, compétences et certifications (indicateur 23)</w:t>
      </w:r>
    </w:p>
    <w:bookmarkStart w:id="38" w:name="Xf14aefa6b61adb928fcd2d0417298b462d0698e"/>
    <w:p>
      <w:pPr>
        <w:pStyle w:val="Heading3"/>
      </w:pPr>
      <w:r>
        <w:t xml:space="preserve">France compétences : les décisions d’enregistrement RNCP/RS de septembre sont publiées</w:t>
      </w:r>
    </w:p>
    <w:p>
      <w:pPr>
        <w:pStyle w:val="FirstParagraph"/>
      </w:pPr>
      <w:r>
        <w:rPr>
          <w:bCs/>
          <w:b/>
        </w:rPr>
        <w:t xml:space="preserve">01/10/2026</w:t>
      </w:r>
      <w:r>
        <w:t xml:space="preserve"> </w:t>
      </w:r>
      <w:r>
        <w:t xml:space="preserve">— France compétences, commission de la certification professionnelle</w:t>
      </w:r>
    </w:p>
    <w:p>
      <w:pPr>
        <w:pStyle w:val="BodyText"/>
      </w:pPr>
      <w:r>
        <w:t xml:space="preserve">Après plus de deux mois sans publication (dernière délibération en ligne : 17 juillet), France compétences a mis en ligne le 1er octobre les « Décisions d’enregistrement aux répertoires nationaux – Septembre 2026 » (RNCP et répertoire spécifique). C’est la reprise attendue du flux de rentrée.</w:t>
      </w:r>
    </w:p>
    <w:p>
      <w:pPr>
        <w:pStyle w:val="BodyText"/>
      </w:pPr>
      <w:r>
        <w:rPr>
          <w:iCs/>
          <w:i/>
        </w:rPr>
        <w:t xml:space="preserve">Impact pour l’organisme : passer en revue la délibération pour vérifier le statut des certifications préparées ou visées (nouveaux enregistrements, renouvellements, échéances d’enregistrement) et mettre à jour le tableau de suivi des certifications ; preuve directe pour l’indicateur 23.</w:t>
      </w:r>
    </w:p>
    <w:p>
      <w:pPr>
        <w:pStyle w:val="BodyText"/>
      </w:pPr>
      <w:r>
        <w:t xml:space="preserve">Source :</w:t>
      </w:r>
      <w:r>
        <w:t xml:space="preserve"> </w:t>
      </w:r>
      <w:hyperlink r:id="rId37">
        <w:r>
          <w:rPr>
            <w:rStyle w:val="Hyperlink"/>
          </w:rPr>
          <w:t xml:space="preserve">https://www.francecompetences.fr/deliberation-de-la-commission-de-la-certification-professionnelle/</w:t>
        </w:r>
      </w:hyperlink>
    </w:p>
    <w:bookmarkEnd w:id="38"/>
    <w:bookmarkStart w:id="40" w:name="X8eba382ed8f905557305a506bed29661f80ae85"/>
    <w:p>
      <w:pPr>
        <w:pStyle w:val="Heading3"/>
      </w:pPr>
      <w:r>
        <w:t xml:space="preserve">Nouveau titre professionnel « Concepteur pédagogique digital » (niveau 6) au JO du 1er octobre</w:t>
      </w:r>
    </w:p>
    <w:p>
      <w:pPr>
        <w:pStyle w:val="FirstParagraph"/>
      </w:pPr>
      <w:r>
        <w:rPr>
          <w:bCs/>
          <w:b/>
        </w:rPr>
        <w:t xml:space="preserve">01/10/2026</w:t>
      </w:r>
      <w:r>
        <w:t xml:space="preserve"> </w:t>
      </w:r>
      <w:r>
        <w:t xml:space="preserve">— Arrêté du 28 septembre 2026, JO du 1er octobre 2026 (NOR TRSD2617536A)</w:t>
      </w:r>
    </w:p>
    <w:p>
      <w:pPr>
        <w:pStyle w:val="BodyText"/>
      </w:pPr>
      <w:r>
        <w:t xml:space="preserve">Le ministère du Travail crée le titre professionnel de concepteur pédagogique digital, de niveau 6, enregistré au RNCP pour trois ans (jusqu’au 1er octobre 2029), articulé en trois blocs : concevoir des parcours d’apprentissage digitaux accessibles ; réaliser des contenus formatifs digitaux en éco-conception ; diffuser des parcours et faciliter leur appropriation. Les formations qui y préparent deviennent éligibles au CPF. À noter la place donnée à l’accessibilité et à l’éco-conception dans les blocs — signal sur les attendus du métier.</w:t>
      </w:r>
    </w:p>
    <w:p>
      <w:pPr>
        <w:pStyle w:val="BodyText"/>
      </w:pPr>
      <w:r>
        <w:rPr>
          <w:iCs/>
          <w:i/>
        </w:rPr>
        <w:t xml:space="preserve">Impact pour l’organisme : opportunité de professionnalisation des équipes pédagogiques internes (indicateurs 21-22) voire de développement d’offre pour les organismes positionnés sur l’ingénierie digitale ; la structuration en blocs (accessibilité, éco-conception) donne une grille de référence pour les pratiques digital learning de l’organisme.</w:t>
      </w:r>
    </w:p>
    <w:p>
      <w:pPr>
        <w:pStyle w:val="BodyText"/>
      </w:pPr>
      <w:r>
        <w:t xml:space="preserve">Source :</w:t>
      </w:r>
      <w:r>
        <w:t xml:space="preserve"> </w:t>
      </w:r>
      <w:hyperlink r:id="rId39">
        <w:r>
          <w:rPr>
            <w:rStyle w:val="Hyperlink"/>
          </w:rPr>
          <w:t xml:space="preserve">https://www.benjaminduplaa.com/blog/concepteur-pedagogique-digital-titre-professionnel-niveau-6</w:t>
        </w:r>
      </w:hyperlink>
    </w:p>
    <w:bookmarkEnd w:id="40"/>
    <w:bookmarkStart w:id="43" w:name="Xffbbd1295951f2c2ada54835c836c6e009c3784"/>
    <w:p>
      <w:pPr>
        <w:pStyle w:val="Heading3"/>
      </w:pPr>
      <w:r>
        <w:t xml:space="preserve">NPEC : dernière ligne droite pour le positionnement des branches (8 octobre)</w:t>
      </w:r>
    </w:p>
    <w:p>
      <w:pPr>
        <w:pStyle w:val="FirstParagraph"/>
      </w:pPr>
      <w:r>
        <w:rPr>
          <w:bCs/>
          <w:b/>
        </w:rPr>
        <w:t xml:space="preserve">échéance au 08/10/2026</w:t>
      </w:r>
      <w:r>
        <w:t xml:space="preserve"> </w:t>
      </w:r>
      <w:r>
        <w:t xml:space="preserve">— France compétences</w:t>
      </w:r>
    </w:p>
    <w:p>
      <w:pPr>
        <w:pStyle w:val="BodyText"/>
      </w:pPr>
      <w:r>
        <w:t xml:space="preserve">Rappel de la fiche précédente, désormais imminent : les branches professionnelles doivent se positionner sur les niveaux de prise en charge (NPEC) révisés des contrats d’apprentissage avant le 8 octobre. Les valeurs retenues conditionneront le financement des CFA pour les prochaines campagnes.</w:t>
      </w:r>
    </w:p>
    <w:p>
      <w:pPr>
        <w:pStyle w:val="BodyText"/>
      </w:pPr>
      <w:r>
        <w:rPr>
          <w:iCs/>
          <w:i/>
        </w:rPr>
        <w:t xml:space="preserve">Impact pour l’organisme (si activité apprentissage) : surveiller la publication des NPEC définitifs de ses certifications dans le référentiel France compétences et répercuter les évolutions dans les budgets de contrats.</w:t>
      </w:r>
    </w:p>
    <w:p>
      <w:pPr>
        <w:pStyle w:val="BodyText"/>
      </w:pPr>
      <w:r>
        <w:t xml:space="preserve">Source :</w:t>
      </w:r>
      <w:r>
        <w:t xml:space="preserve"> </w:t>
      </w:r>
      <w:hyperlink r:id="rId41">
        <w:r>
          <w:rPr>
            <w:rStyle w:val="Hyperlink"/>
          </w:rPr>
          <w:t xml:space="preserve">https://www.francecompetences.fr/</w:t>
        </w:r>
      </w:hyperlink>
      <w:r>
        <w:t xml:space="preserve"> </w:t>
      </w:r>
      <w:r>
        <w:t xml:space="preserve">•</w:t>
      </w:r>
      <w:r>
        <w:t xml:space="preserve"> </w:t>
      </w:r>
      <w:hyperlink r:id="rId42">
        <w:r>
          <w:rPr>
            <w:rStyle w:val="Hyperlink"/>
          </w:rPr>
          <w:t xml:space="preserve">https://www.ypareo.com/blog-formation/reforme-npec-2026-cfa</w:t>
        </w:r>
      </w:hyperlink>
    </w:p>
    <w:bookmarkEnd w:id="43"/>
    <w:bookmarkEnd w:id="44"/>
    <w:bookmarkStart w:id="50" w:name="X406fcec4051a43c8b194b898d8715cc68458b80"/>
    <w:p>
      <w:pPr>
        <w:pStyle w:val="Heading2"/>
      </w:pPr>
      <w:r>
        <w:t xml:space="preserve">3. Veille sur les innovations pédagogiques et technologiques (indicateurs 24-25)</w:t>
      </w:r>
    </w:p>
    <w:bookmarkStart w:id="48" w:name="X1e7a5e2dc1c028b08bca628177108a200e8711c"/>
    <w:p>
      <w:pPr>
        <w:pStyle w:val="Heading3"/>
      </w:pPr>
      <w:r>
        <w:t xml:space="preserve">IA en formation : l’obligation de maîtrise de l’AI Act devient un argument de marché</w:t>
      </w:r>
    </w:p>
    <w:p>
      <w:pPr>
        <w:pStyle w:val="FirstParagraph"/>
      </w:pPr>
      <w:r>
        <w:rPr>
          <w:bCs/>
          <w:b/>
        </w:rPr>
        <w:t xml:space="preserve">03/10/2026</w:t>
      </w:r>
      <w:r>
        <w:t xml:space="preserve"> </w:t>
      </w:r>
      <w:r>
        <w:t xml:space="preserve">— Mêlée Numérique / presse spécialisée</w:t>
      </w:r>
    </w:p>
    <w:p>
      <w:pPr>
        <w:pStyle w:val="BodyText"/>
      </w:pPr>
      <w:r>
        <w:t xml:space="preserve">Les retours de la Mêlée Numérique (3 octobre) convergent avec les analyses récentes de l’AI Act : l’article 4 du règlement européen impose aux entreprises qui déploient des systèmes d’IA d’assurer une « maîtrise suffisante » de leurs salariés, ce qui installe durablement une demande de formation IA — au moment même où le plan « Impulsion IA 2027 » (plateforme publique gratuite « Explore IA », future certification État Afpa/ANSSI, cofinancements CPF fléchés) redessine l’entrée de gamme. Les organismes de formation sont par ailleurs invités à auditer leurs propres usages de l’IA (transparence vis-à-vis des apprenants, données, biais), sujet qui rejoint les exigences accrues du référentiel V10 sur le distanciel.</w:t>
      </w:r>
    </w:p>
    <w:p>
      <w:pPr>
        <w:pStyle w:val="BodyText"/>
      </w:pPr>
      <w:r>
        <w:rPr>
          <w:iCs/>
          <w:i/>
        </w:rPr>
        <w:t xml:space="preserve">Impact pour l’organisme : positionner l’offre IA sur la conformité AI Act des entreprises clientes (obligation art. 4) plutôt que sur l’initiation générique concurrencée par « Explore IA » ; formaliser en parallèle une charte d’usage interne de l’IA (preuve indicateurs 24-25 et anticipation V10) ; surveiller les textes d’application du plan Impulsion IA, toujours non publiés.</w:t>
      </w:r>
    </w:p>
    <w:p>
      <w:pPr>
        <w:pStyle w:val="BodyText"/>
      </w:pPr>
      <w:r>
        <w:t xml:space="preserve">Source :</w:t>
      </w:r>
      <w:r>
        <w:t xml:space="preserve"> </w:t>
      </w:r>
      <w:hyperlink r:id="rId45">
        <w:r>
          <w:rPr>
            <w:rStyle w:val="Hyperlink"/>
          </w:rPr>
          <w:t xml:space="preserve">https://tntic.com/2026/10/03/melee-numerique-ia-les-entreprises-vont-devoir-apprendre-a-travailler-autrement</w:t>
        </w:r>
      </w:hyperlink>
      <w:r>
        <w:t xml:space="preserve"> </w:t>
      </w:r>
      <w:r>
        <w:t xml:space="preserve">•</w:t>
      </w:r>
      <w:r>
        <w:t xml:space="preserve"> </w:t>
      </w:r>
      <w:hyperlink r:id="rId46">
        <w:r>
          <w:rPr>
            <w:rStyle w:val="Hyperlink"/>
          </w:rPr>
          <w:t xml:space="preserve">https://hop3team.com/ai-act-quel-impact-sur-la-formation-professionnelle-en-france/</w:t>
        </w:r>
      </w:hyperlink>
      <w:r>
        <w:t xml:space="preserve"> </w:t>
      </w:r>
      <w:r>
        <w:t xml:space="preserve">•</w:t>
      </w:r>
      <w:r>
        <w:t xml:space="preserve"> </w:t>
      </w:r>
      <w:hyperlink r:id="rId47">
        <w:r>
          <w:rPr>
            <w:rStyle w:val="Hyperlink"/>
          </w:rPr>
          <w:t xml:space="preserve">https://juritravail.com/Actualite/lia-dans-le-monde-du-travail-ce-que-prevoit-le-gouvernement-dans-son-plan-impulsion-ia-2027/Id/378600</w:t>
        </w:r>
      </w:hyperlink>
    </w:p>
    <w:bookmarkEnd w:id="48"/>
    <w:bookmarkStart w:id="49" w:name="X4f6095490b119df775f887d574ce418db4e3ff5"/>
    <w:p>
      <w:pPr>
        <w:pStyle w:val="Heading3"/>
      </w:pPr>
      <w:r>
        <w:t xml:space="preserve">Semaines de l’évolution professionnelle : 70 webinaires gratuits du 5 au 16 octobre</w:t>
      </w:r>
    </w:p>
    <w:p>
      <w:pPr>
        <w:pStyle w:val="FirstParagraph"/>
      </w:pPr>
      <w:r>
        <w:rPr>
          <w:bCs/>
          <w:b/>
        </w:rPr>
        <w:t xml:space="preserve">du 05 au 16/10/2026</w:t>
      </w:r>
      <w:r>
        <w:t xml:space="preserve"> </w:t>
      </w:r>
      <w:r>
        <w:t xml:space="preserve">— Apec / Avenir Actifs / France compétences</w:t>
      </w:r>
    </w:p>
    <w:p>
      <w:pPr>
        <w:pStyle w:val="BodyText"/>
      </w:pPr>
      <w:r>
        <w:t xml:space="preserve">Les Semaines de l’évolution professionnelle démarrent ce lundi 5 octobre : environ 70 webinaires gratuits sur l’orientation, la reconversion, la VAE et les dispositifs d’évolution professionnelle, utiles à la fois pour la professionnalisation des équipes (conseillers, référents) et comme ressource à relayer aux bénéficiaires.</w:t>
      </w:r>
    </w:p>
    <w:p>
      <w:pPr>
        <w:pStyle w:val="BodyText"/>
      </w:pPr>
      <w:r>
        <w:rPr>
          <w:iCs/>
          <w:i/>
        </w:rPr>
        <w:t xml:space="preserve">Impact pour l’organisme : inscrire les webinaires pertinents au plan de professionnalisation des salariés (indicateurs 21-23) et archiver les attestations/replays comme preuves ; relayer la programmation aux stagiaires en réflexion d’évolution (indicateur 25 — ressources mises à disposition).</w:t>
      </w:r>
    </w:p>
    <w:p>
      <w:pPr>
        <w:pStyle w:val="BodyText"/>
      </w:pPr>
      <w:r>
        <w:t xml:space="preserve">Source :</w:t>
      </w:r>
      <w:r>
        <w:t xml:space="preserve"> </w:t>
      </w:r>
      <w:hyperlink r:id="rId41">
        <w:r>
          <w:rPr>
            <w:rStyle w:val="Hyperlink"/>
          </w:rPr>
          <w:t xml:space="preserve">https://www.francecompetences.fr/</w:t>
        </w:r>
      </w:hyperlink>
    </w:p>
    <w:bookmarkEnd w:id="49"/>
    <w:bookmarkEnd w:id="50"/>
    <w:bookmarkStart w:id="56" w:name="X3f0859653963368d38d74fba3081e07a4da06c8"/>
    <w:p>
      <w:pPr>
        <w:pStyle w:val="Heading2"/>
      </w:pPr>
      <w:r>
        <w:t xml:space="preserve">4. Veille handicap et accessibilité (indicateur 26)</w:t>
      </w:r>
    </w:p>
    <w:p>
      <w:pPr>
        <w:pStyle w:val="FirstParagraph"/>
      </w:pPr>
      <w:r>
        <w:rPr>
          <w:iCs/>
          <w:i/>
        </w:rPr>
        <w:t xml:space="preserve">Volet réglementaire calme sur la période : aucun nouveau texte repéré. L’actualité reste la préparation de la SEEPH et l’outillage des référents handicap.</w:t>
      </w:r>
    </w:p>
    <w:bookmarkStart w:id="52" w:name="Xcc05f2fa4fa23dbc239b3991b716de3f14771b0"/>
    <w:p>
      <w:pPr>
        <w:pStyle w:val="Heading3"/>
      </w:pPr>
      <w:r>
        <w:t xml:space="preserve">Webinaire Agefiph « activateurs de progrès » demain mardi 6 octobre (14 h – 15 h)</w:t>
      </w:r>
    </w:p>
    <w:p>
      <w:pPr>
        <w:pStyle w:val="FirstParagraph"/>
      </w:pPr>
      <w:r>
        <w:rPr>
          <w:bCs/>
          <w:b/>
        </w:rPr>
        <w:t xml:space="preserve">échéance au 06/10/2026</w:t>
      </w:r>
      <w:r>
        <w:t xml:space="preserve"> </w:t>
      </w:r>
      <w:r>
        <w:t xml:space="preserve">— Agefiph</w:t>
      </w:r>
    </w:p>
    <w:p>
      <w:pPr>
        <w:pStyle w:val="BodyText"/>
      </w:pPr>
      <w:r>
        <w:t xml:space="preserve">Seconde et dernière session de préparation de la SEEPH 2026 (30e édition, 16-22 novembre, thème « Démystifier, simplifier, accompagner. L’emploi pour toutes et tous ») : webinaire gratuit mardi 6 octobre de 14 h à 15 h, en direct sur la chaîne LinkedIn de l’Agefiph. Au programme : présentation du thème national et mise à disposition du kit de communication (affiches personnalisables, contenus réseaux sociaux, jeux et animations de sensibilisation).</w:t>
      </w:r>
    </w:p>
    <w:p>
      <w:pPr>
        <w:pStyle w:val="BodyText"/>
      </w:pPr>
      <w:r>
        <w:rPr>
          <w:iCs/>
          <w:i/>
        </w:rPr>
        <w:t xml:space="preserve">Impact pour l’organisme : y participer (ou visionner le replay) pour finaliser le programme SEEPH de l’organisme avec les supports officiels ; l’inscription et le kit mobilisé constituent des preuves concrètes pour l’indicateur 26 ; rappel : inscriptions DuoDay (19 novembre) ouvertes.</w:t>
      </w:r>
    </w:p>
    <w:p>
      <w:pPr>
        <w:pStyle w:val="BodyText"/>
      </w:pPr>
      <w:r>
        <w:t xml:space="preserve">Source :</w:t>
      </w:r>
      <w:r>
        <w:t xml:space="preserve"> </w:t>
      </w:r>
      <w:hyperlink r:id="rId51">
        <w:r>
          <w:rPr>
            <w:rStyle w:val="Hyperlink"/>
          </w:rPr>
          <w:t xml:space="preserve">https://www.agefiph.fr/actualites-handicap/seeph-2026-webinaires-les-10-septembre-et-6-octobre-pour-les-activateurs-de</w:t>
        </w:r>
      </w:hyperlink>
    </w:p>
    <w:bookmarkEnd w:id="52"/>
    <w:bookmarkStart w:id="55" w:name="Xf8af54231dd18d6df0ba0ef0b9bea596f2cd579"/>
    <w:p>
      <w:pPr>
        <w:pStyle w:val="Heading3"/>
      </w:pPr>
      <w:r>
        <w:t xml:space="preserve">Outillage du référent handicap : parcours gratuit « accessibilité des formations » et visibilité via QuiForme</w:t>
      </w:r>
    </w:p>
    <w:p>
      <w:pPr>
        <w:pStyle w:val="FirstParagraph"/>
      </w:pPr>
      <w:r>
        <w:rPr>
          <w:bCs/>
          <w:b/>
        </w:rPr>
        <w:t xml:space="preserve">rappel ressources</w:t>
      </w:r>
      <w:r>
        <w:t xml:space="preserve"> </w:t>
      </w:r>
      <w:r>
        <w:t xml:space="preserve">— Agefiph / Réseau des Carif-Oref</w:t>
      </w:r>
    </w:p>
    <w:p>
      <w:pPr>
        <w:pStyle w:val="BodyText"/>
      </w:pPr>
      <w:r>
        <w:t xml:space="preserve">Deux ressources à mobiliser avant la SEEPH : le parcours complet « accessibilité des formations » de la plateforme Appui à la Professionnalisation (5 modules, 2 h 10, gratuit, en autoformation : obligations légales, accessibilité des formations, adaptation aux besoins individuels) ; et l’annuaire national QuiForme, qui affiche désormais, via le partenariat avec l’Agefiph et la Ressource Handicap Formation, le niveau d’engagement accessibilité des organismes (charte signée, autodiagnostic, plan d’amélioration) — un élément de visibilité publique de la démarche handicap.</w:t>
      </w:r>
    </w:p>
    <w:p>
      <w:pPr>
        <w:pStyle w:val="BodyText"/>
      </w:pPr>
      <w:r>
        <w:rPr>
          <w:iCs/>
          <w:i/>
        </w:rPr>
        <w:t xml:space="preserve">Impact pour l’organisme : faire suivre le parcours au référent handicap et à l’équipe d’accueil (2 h 10, attestation = preuve indicateur 26) ; vérifier le niveau d’engagement affiché pour l’organisme dans QuiForme et, le cas échéant, enclencher l’étape suivante (autodiagnostic RHF, plan d’amélioration).</w:t>
      </w:r>
    </w:p>
    <w:p>
      <w:pPr>
        <w:pStyle w:val="BodyText"/>
      </w:pPr>
      <w:r>
        <w:t xml:space="preserve">Source :</w:t>
      </w:r>
      <w:r>
        <w:t xml:space="preserve"> </w:t>
      </w:r>
      <w:hyperlink r:id="rId53">
        <w:r>
          <w:rPr>
            <w:rStyle w:val="Hyperlink"/>
          </w:rPr>
          <w:t xml:space="preserve">https://www.agefiph.fr/actualites-handicap/appui-la-professionnalisation-le-parcours-complet-sur-laccessibilite-des</w:t>
        </w:r>
      </w:hyperlink>
      <w:r>
        <w:t xml:space="preserve"> </w:t>
      </w:r>
      <w:r>
        <w:t xml:space="preserve">•</w:t>
      </w:r>
      <w:r>
        <w:t xml:space="preserve"> </w:t>
      </w:r>
      <w:hyperlink r:id="rId54">
        <w:r>
          <w:rPr>
            <w:rStyle w:val="Hyperlink"/>
          </w:rPr>
          <w:t xml:space="preserve">https://pro.cap-metiers.fr/formation-vae/quiforme-facilite-la-recherche-dorganismes-de-formation-accessibles/</w:t>
        </w:r>
      </w:hyperlink>
    </w:p>
    <w:bookmarkEnd w:id="55"/>
    <w:bookmarkEnd w:id="56"/>
    <w:bookmarkStart w:id="57" w:name="échéances-à-venir"/>
    <w:p>
      <w:pPr>
        <w:pStyle w:val="Heading2"/>
      </w:pPr>
      <w:r>
        <w:t xml:space="preserve">5. Échéances à venir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Échéance</w:t>
            </w:r>
          </w:p>
        </w:tc>
        <w:tc>
          <w:tcPr/>
          <w:p>
            <w:pPr>
              <w:pStyle w:val="Compact"/>
              <w:jc w:val="left"/>
            </w:pPr>
            <w:r>
              <w:t xml:space="preserve">Objet</w:t>
            </w:r>
          </w:p>
        </w:tc>
      </w:tr>
      <w:tr>
        <w:tc>
          <w:tcPr/>
          <w:p>
            <w:pPr>
              <w:pStyle w:val="Compact"/>
              <w:jc w:val="left"/>
            </w:pPr>
            <w:r>
              <w:rPr>
                <w:bCs/>
                <w:b/>
              </w:rPr>
              <w:t xml:space="preserve">6 oct. 2026, 14 h</w:t>
            </w:r>
          </w:p>
        </w:tc>
        <w:tc>
          <w:tcPr/>
          <w:p>
            <w:pPr>
              <w:pStyle w:val="Compact"/>
              <w:jc w:val="left"/>
            </w:pPr>
            <w:r>
              <w:rPr>
                <w:bCs/>
                <w:b/>
              </w:rPr>
              <w:t xml:space="preserve">Webinaire Agefiph de préparation SEEPH (LinkedIn, gratuit) — dernière session</w:t>
            </w:r>
          </w:p>
        </w:tc>
      </w:tr>
      <w:tr>
        <w:tc>
          <w:tcPr/>
          <w:p>
            <w:pPr>
              <w:pStyle w:val="Compact"/>
              <w:jc w:val="left"/>
            </w:pPr>
            <w:r>
              <w:rPr>
                <w:bCs/>
                <w:b/>
              </w:rPr>
              <w:t xml:space="preserve">8 oct. 2026</w:t>
            </w:r>
          </w:p>
        </w:tc>
        <w:tc>
          <w:tcPr/>
          <w:p>
            <w:pPr>
              <w:pStyle w:val="Compact"/>
              <w:jc w:val="left"/>
            </w:pPr>
            <w:r>
              <w:rPr>
                <w:bCs/>
                <w:b/>
              </w:rPr>
              <w:t xml:space="preserve">Date limite : positionnement des branches sur les NPEC révisés</w:t>
            </w:r>
          </w:p>
        </w:tc>
      </w:tr>
      <w:tr>
        <w:tc>
          <w:tcPr/>
          <w:p>
            <w:pPr>
              <w:pStyle w:val="Compact"/>
              <w:jc w:val="left"/>
            </w:pPr>
            <w:r>
              <w:t xml:space="preserve">5-16 oct. 2026</w:t>
            </w:r>
          </w:p>
        </w:tc>
        <w:tc>
          <w:tcPr/>
          <w:p>
            <w:pPr>
              <w:pStyle w:val="Compact"/>
              <w:jc w:val="left"/>
            </w:pPr>
            <w:r>
              <w:t xml:space="preserve">Semaines de l’évolution professionnelle : ~70 webinaires gratuits (Apec / Avenir Actifs / France compétences)</w:t>
            </w:r>
          </w:p>
        </w:tc>
      </w:tr>
      <w:tr>
        <w:tc>
          <w:tcPr/>
          <w:p>
            <w:pPr>
              <w:pStyle w:val="Compact"/>
              <w:jc w:val="left"/>
            </w:pPr>
            <w:r>
              <w:rPr>
                <w:bCs/>
                <w:b/>
              </w:rPr>
              <w:t xml:space="preserve">22 oct. 2026</w:t>
            </w:r>
          </w:p>
        </w:tc>
        <w:tc>
          <w:tcPr/>
          <w:p>
            <w:pPr>
              <w:pStyle w:val="Compact"/>
              <w:jc w:val="left"/>
            </w:pPr>
            <w:r>
              <w:rPr>
                <w:bCs/>
                <w:b/>
              </w:rPr>
              <w:t xml:space="preserve">Date limite : blocs de compétences RNCP sur EDOF (saisie manuelle ou import XML mis à jour) — sinon retrait du moteur de recherche MCF</w:t>
            </w:r>
          </w:p>
        </w:tc>
      </w:tr>
      <w:tr>
        <w:tc>
          <w:tcPr/>
          <w:p>
            <w:pPr>
              <w:pStyle w:val="Compact"/>
              <w:jc w:val="left"/>
            </w:pPr>
            <w:r>
              <w:t xml:space="preserve">31 oct. 2026</w:t>
            </w:r>
          </w:p>
        </w:tc>
        <w:tc>
          <w:tcPr/>
          <w:p>
            <w:pPr>
              <w:pStyle w:val="Compact"/>
              <w:jc w:val="left"/>
            </w:pPr>
            <w:r>
              <w:t xml:space="preserve">Dernier jour des audits Qualiopi sur l’ancien référentiel (32 indicateurs)</w:t>
            </w:r>
          </w:p>
        </w:tc>
      </w:tr>
      <w:tr>
        <w:tc>
          <w:tcPr/>
          <w:p>
            <w:pPr>
              <w:pStyle w:val="Compact"/>
              <w:jc w:val="left"/>
            </w:pPr>
            <w:r>
              <w:t xml:space="preserve">1er nov. 2026</w:t>
            </w:r>
          </w:p>
        </w:tc>
        <w:tc>
          <w:tcPr/>
          <w:p>
            <w:pPr>
              <w:pStyle w:val="Compact"/>
              <w:jc w:val="left"/>
            </w:pPr>
            <w:r>
              <w:t xml:space="preserve">Entrée en vigueur du référentiel Qualiopi à 33 indicateurs (décret n° 2026-728) — guide V10 et arrêtés ind. 19-20 toujours attendus au 5 oct.</w:t>
            </w:r>
          </w:p>
        </w:tc>
      </w:tr>
      <w:tr>
        <w:tc>
          <w:tcPr/>
          <w:p>
            <w:pPr>
              <w:pStyle w:val="Compact"/>
              <w:jc w:val="left"/>
            </w:pPr>
            <w:r>
              <w:t xml:space="preserve">16-22 nov. 2026</w:t>
            </w:r>
          </w:p>
        </w:tc>
        <w:tc>
          <w:tcPr/>
          <w:p>
            <w:pPr>
              <w:pStyle w:val="Compact"/>
              <w:jc w:val="left"/>
            </w:pPr>
            <w:r>
              <w:t xml:space="preserve">SEEPH 2026 (30e édition)</w:t>
            </w:r>
          </w:p>
        </w:tc>
      </w:tr>
      <w:tr>
        <w:tc>
          <w:tcPr/>
          <w:p>
            <w:pPr>
              <w:pStyle w:val="Compact"/>
              <w:jc w:val="left"/>
            </w:pPr>
            <w:r>
              <w:t xml:space="preserve">19 nov. 2026</w:t>
            </w:r>
          </w:p>
        </w:tc>
        <w:tc>
          <w:tcPr/>
          <w:p>
            <w:pPr>
              <w:pStyle w:val="Compact"/>
              <w:jc w:val="left"/>
            </w:pPr>
            <w:r>
              <w:t xml:space="preserve">DuoDay 2026 (inscriptions ouvertes)</w:t>
            </w:r>
          </w:p>
        </w:tc>
      </w:tr>
      <w:tr>
        <w:tc>
          <w:tcPr/>
          <w:p>
            <w:pPr>
              <w:pStyle w:val="Compact"/>
              <w:jc w:val="left"/>
            </w:pPr>
            <w:r>
              <w:t xml:space="preserve">Déc. 2026</w:t>
            </w:r>
          </w:p>
        </w:tc>
        <w:tc>
          <w:tcPr/>
          <w:p>
            <w:pPr>
              <w:pStyle w:val="Compact"/>
              <w:jc w:val="left"/>
            </w:pPr>
            <w:r>
              <w:t xml:space="preserve">Fin des débats parlementaires sur le PLF 2027 (CPF, Pric, apprentissage)</w:t>
            </w:r>
          </w:p>
        </w:tc>
      </w:tr>
      <w:tr>
        <w:tc>
          <w:tcPr/>
          <w:p>
            <w:pPr>
              <w:pStyle w:val="Compact"/>
              <w:jc w:val="left"/>
            </w:pPr>
            <w:r>
              <w:t xml:space="preserve">31 déc. 2026</w:t>
            </w:r>
          </w:p>
        </w:tc>
        <w:tc>
          <w:tcPr/>
          <w:p>
            <w:pPr>
              <w:pStyle w:val="Compact"/>
              <w:jc w:val="left"/>
            </w:pPr>
            <w:r>
              <w:t xml:space="preserve">Fin de l’aide exceptionnelle aux employeurs d’apprentis (contrats conclus avant cette date)</w:t>
            </w:r>
          </w:p>
        </w:tc>
      </w:tr>
      <w:tr>
        <w:tc>
          <w:tcPr/>
          <w:p>
            <w:pPr>
              <w:pStyle w:val="Compact"/>
              <w:jc w:val="left"/>
            </w:pPr>
            <w:r>
              <w:t xml:space="preserve">2027</w:t>
            </w:r>
          </w:p>
        </w:tc>
        <w:tc>
          <w:tcPr/>
          <w:p>
            <w:pPr>
              <w:pStyle w:val="Compact"/>
              <w:jc w:val="left"/>
            </w:pPr>
            <w:r>
              <w:t xml:space="preserve">Appel du complément de participation CPF (jusqu’à 200 €) pour les dossiers validés depuis le 2 oct. 2026, selon textes d’application à paraître</w:t>
            </w:r>
          </w:p>
        </w:tc>
      </w:tr>
    </w:tbl>
    <w:bookmarkEnd w:id="57"/>
    <w:bookmarkStart w:id="58" w:name="actions-à-prévoir"/>
    <w:p>
      <w:pPr>
        <w:pStyle w:val="Heading2"/>
      </w:pPr>
      <w:r>
        <w:t xml:space="preserve">6. Actions à prévoir</w:t>
      </w:r>
    </w:p>
    <w:p>
      <w:pPr>
        <w:numPr>
          <w:ilvl w:val="0"/>
          <w:numId w:val="1001"/>
        </w:numPr>
        <w:pStyle w:val="Compact"/>
      </w:pPr>
      <w:r>
        <w:rPr>
          <w:bCs/>
          <w:b/>
        </w:rPr>
        <w:t xml:space="preserve">Dès cette semaine (urgent)</w:t>
      </w:r>
      <w:r>
        <w:t xml:space="preserve"> </w:t>
      </w:r>
      <w:r>
        <w:t xml:space="preserve">: informer équipes commerciales et prospects du complément CPF jusqu’à 200 € applicable aux dossiers validés depuis le 2 octobre ; mettre à jour devis, CGV et parcours d’information (transparence, critère 1) ; systématiser la proposition de cofinancement employeur ≥ 150 €.</w:t>
      </w:r>
    </w:p>
    <w:p>
      <w:pPr>
        <w:numPr>
          <w:ilvl w:val="0"/>
          <w:numId w:val="1001"/>
        </w:numPr>
        <w:pStyle w:val="Compact"/>
      </w:pPr>
      <w:r>
        <w:rPr>
          <w:bCs/>
          <w:b/>
        </w:rPr>
        <w:t xml:space="preserve">Mardi 6 octobre, 14 h</w:t>
      </w:r>
      <w:r>
        <w:t xml:space="preserve"> </w:t>
      </w:r>
      <w:r>
        <w:t xml:space="preserve">: participer au webinaire Agefiph SEEPH (ou réserver le replay) et récupérer le kit de communication ; finaliser programme SEEPH et inscription DuoDay.</w:t>
      </w:r>
    </w:p>
    <w:p>
      <w:pPr>
        <w:numPr>
          <w:ilvl w:val="0"/>
          <w:numId w:val="1001"/>
        </w:numPr>
        <w:pStyle w:val="Compact"/>
      </w:pPr>
      <w:r>
        <w:rPr>
          <w:bCs/>
          <w:b/>
        </w:rPr>
        <w:t xml:space="preserve">Avant le 22 octobre</w:t>
      </w:r>
      <w:r>
        <w:t xml:space="preserve"> </w:t>
      </w:r>
      <w:r>
        <w:t xml:space="preserve">: renseigner les blocs de compétences RNCP sur EDOF (ou mettre à jour l’import XML avec la documentation du 1er octobre).</w:t>
      </w:r>
    </w:p>
    <w:p>
      <w:pPr>
        <w:numPr>
          <w:ilvl w:val="0"/>
          <w:numId w:val="1001"/>
        </w:numPr>
        <w:pStyle w:val="Compact"/>
      </w:pPr>
      <w:r>
        <w:t xml:space="preserve">Consulter la délibération France compétences de septembre (publiée le 1er octobre) et mettre à jour le tableau de suivi des certifications préparées.</w:t>
      </w:r>
    </w:p>
    <w:p>
      <w:pPr>
        <w:numPr>
          <w:ilvl w:val="0"/>
          <w:numId w:val="1001"/>
        </w:numPr>
        <w:pStyle w:val="Compact"/>
      </w:pPr>
      <w:r>
        <w:t xml:space="preserve">Interroger chaque OPCO partenaire sur les modalités de prise en charge et de facturation des accords émis depuis le 1er octobre (subrogation, TVA) ; adapter conventions et plan de trésorerie.</w:t>
      </w:r>
    </w:p>
    <w:p>
      <w:pPr>
        <w:numPr>
          <w:ilvl w:val="0"/>
          <w:numId w:val="1001"/>
        </w:numPr>
        <w:pStyle w:val="Compact"/>
      </w:pPr>
      <w:r>
        <w:t xml:space="preserve">Analyser le texte du PLF 2027 (présenté le 1er octobre) et acter en revue de direction un budget 2027 avec hypothèse basse CPF/Pric ; suivre les débats parlementaires jusqu’en décembre.</w:t>
      </w:r>
    </w:p>
    <w:p>
      <w:pPr>
        <w:numPr>
          <w:ilvl w:val="0"/>
          <w:numId w:val="1001"/>
        </w:numPr>
        <w:pStyle w:val="Compact"/>
      </w:pPr>
      <w:r>
        <w:t xml:space="preserve">Poursuivre l’auto-diagnostic Qualiopi V10 sur la base du décret ; maintenir la vérification hebdomadaire de la publication du guide de lecture et des arrêtés indicateurs 19-20.</w:t>
      </w:r>
    </w:p>
    <w:p>
      <w:pPr>
        <w:numPr>
          <w:ilvl w:val="0"/>
          <w:numId w:val="1001"/>
        </w:numPr>
        <w:pStyle w:val="Compact"/>
      </w:pPr>
      <w:r>
        <w:t xml:space="preserve">Offre IA : réorienter l’argumentaire vers la conformité AI Act (art. 4) des entreprises clientes ; formaliser la charte d’usage interne de l’IA de l’organisme.</w:t>
      </w:r>
    </w:p>
    <w:p>
      <w:pPr>
        <w:numPr>
          <w:ilvl w:val="0"/>
          <w:numId w:val="1001"/>
        </w:numPr>
        <w:pStyle w:val="Compact"/>
      </w:pPr>
      <w:r>
        <w:t xml:space="preserve">Référent handicap : suivre le parcours gratuit « accessibilité des formations » (2 h 10) et vérifier le positionnement de l’organisme dans QuiForme (engagement RHF).</w:t>
      </w:r>
    </w:p>
    <w:p>
      <w:pPr>
        <w:numPr>
          <w:ilvl w:val="0"/>
          <w:numId w:val="1001"/>
        </w:numPr>
        <w:pStyle w:val="Compact"/>
      </w:pPr>
      <w:r>
        <w:t xml:space="preserve">Archiver la présente fiche dans le classeur « Veille » et tracer en réunion les décisions prises à sa lecture (preuve d’exploitation de la veille).</w:t>
      </w:r>
    </w:p>
    <w:bookmarkEnd w:id="58"/>
    <w:bookmarkStart w:id="59" w:name="méthodologie-et-sources"/>
    <w:p>
      <w:pPr>
        <w:pStyle w:val="Heading2"/>
      </w:pPr>
      <w:r>
        <w:t xml:space="preserve">Méthodologie et sources</w:t>
      </w:r>
    </w:p>
    <w:p>
      <w:pPr>
        <w:pStyle w:val="FirstParagraph"/>
      </w:pPr>
      <w:r>
        <w:t xml:space="preserve">Veille réalisée le 5 octobre 2026 par recherche systématique sur les sources officielles et professionnelles : Caisse des Dépôts / Mon Compte Formation et portail EDOF (actualités officielles), France compétences (délibérations de la commission de la certification professionnelle), Journal officiel (arrêté du 28 septembre 2026 via analyse spécialisée), ministère du Travail, Agefiph, Réseau des Carif-Oref (Cap Métiers), presse spécialisée (CPFormation, Revue Fiduciaire, Certiforma, TNTIC, TPE Actu, blog Benjamin Duplaa, Juritravail, Hop3team). Chaque information est datée et accompagnée de l’URL de sa source. Notes : à la suite de la liquidation judiciaire de Centre Inffo (juillet 2026), le « Quotidien de la formation » n’alimente plus la veille ; l’accès direct à la page ministérielle du guide de lecture Qualiopi restait entravé par un dispositif anti-robots à la date de rédaction (vérification croisée via sources secondaires) ; l’item OPCO (fin du régime dérogatoire de TVA / subrogation au 1er octobre) repose sur des analyses spécialisées non recoupées sur un texte officiel consolidé et est signalé comme « à vérifier auprès de chaque OPCO ».</w:t>
      </w:r>
    </w:p>
    <w:p>
      <w:pPr>
        <w:pStyle w:val="BodyText"/>
      </w:pPr>
      <w:r>
        <w:rPr>
          <w:iCs/>
          <w:i/>
        </w:rPr>
        <w:t xml:space="preserve">Fiche générée et archivée automatiquement — veille Qualiopi critère 6.</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certiforma.fr/qualiopi-v10/" TargetMode="External" /><Relationship Type="http://schemas.openxmlformats.org/officeDocument/2006/relationships/hyperlink" Id="rId25" Target="https://cpformation.com/cpf-vous-pouvez-acheter-aujourdhui-et-payer-jusqua-200-e-de-plus-en-2027/" TargetMode="External" /><Relationship Type="http://schemas.openxmlformats.org/officeDocument/2006/relationships/hyperlink" Id="rId28" Target="https://cpformation.com/octobre-2026-lopco-ne-choisira-plus-vos-organismes-de-formation-a-votre-place/" TargetMode="External" /><Relationship Type="http://schemas.openxmlformats.org/officeDocument/2006/relationships/hyperlink" Id="rId21" Target="https://cpformation.com/plf-2027-la-filiere-formation-alerte-sur-le-cpf-les-pric-et-lapprentissage/" TargetMode="External" /><Relationship Type="http://schemas.openxmlformats.org/officeDocument/2006/relationships/hyperlink" Id="rId46" Target="https://hop3team.com/ai-act-quel-impact-sur-la-formation-professionnelle-en-france/" TargetMode="External" /><Relationship Type="http://schemas.openxmlformats.org/officeDocument/2006/relationships/hyperlink" Id="rId47" Target="https://juritravail.com/Actualite/lia-dans-le-monde-du-travail-ce-que-prevoit-le-gouvernement-dans-son-plan-impulsion-ia-2027/Id/378600" TargetMode="External" /><Relationship Type="http://schemas.openxmlformats.org/officeDocument/2006/relationships/hyperlink" Id="rId29" Target="https://monpoleformation.fr/opco-fin-selection-imposee-organismes-formation-octobre-2026/" TargetMode="External" /><Relationship Type="http://schemas.openxmlformats.org/officeDocument/2006/relationships/hyperlink" Id="rId34" Target="https://of.moncompteformation.gouv.fr/espace-public/ressources/actualites" TargetMode="External" /><Relationship Type="http://schemas.openxmlformats.org/officeDocument/2006/relationships/hyperlink" Id="rId54" Target="https://pro.cap-metiers.fr/formation-vae/quiforme-facilite-la-recherche-dorganismes-de-formation-accessibles/" TargetMode="External" /><Relationship Type="http://schemas.openxmlformats.org/officeDocument/2006/relationships/hyperlink" Id="rId45" Target="https://tntic.com/2026/10/03/melee-numerique-ia-les-entreprises-vont-devoir-apprendre-a-travailler-autrement" TargetMode="External" /><Relationship Type="http://schemas.openxmlformats.org/officeDocument/2006/relationships/hyperlink" Id="rId26" Target="https://tpeactu.fr/2026/10/04/cpf-employeur-150-euros-formation-salarie-budget-2027/" TargetMode="External" /><Relationship Type="http://schemas.openxmlformats.org/officeDocument/2006/relationships/hyperlink" Id="rId32" Target="https://travail-emploi.gouv.fr/referentiel-national-qualite-guide-de-lecture-qualiopi" TargetMode="External" /><Relationship Type="http://schemas.openxmlformats.org/officeDocument/2006/relationships/hyperlink" Id="rId53" Target="https://www.agefiph.fr/actualites-handicap/appui-la-professionnalisation-le-parcours-complet-sur-laccessibilite-des" TargetMode="External" /><Relationship Type="http://schemas.openxmlformats.org/officeDocument/2006/relationships/hyperlink" Id="rId51" Target="https://www.agefiph.fr/actualites-handicap/seeph-2026-webinaires-les-10-septembre-et-6-octobre-pour-les-activateurs-de" TargetMode="External" /><Relationship Type="http://schemas.openxmlformats.org/officeDocument/2006/relationships/hyperlink" Id="rId39" Target="https://www.benjaminduplaa.com/blog/concepteur-pedagogique-digital-titre-professionnel-niveau-6" TargetMode="External" /><Relationship Type="http://schemas.openxmlformats.org/officeDocument/2006/relationships/hyperlink" Id="rId41" Target="https://www.francecompetences.fr/" TargetMode="External" /><Relationship Type="http://schemas.openxmlformats.org/officeDocument/2006/relationships/hyperlink" Id="rId37" Target="https://www.francecompetences.fr/deliberation-de-la-commission-de-la-certification-professionnelle/" TargetMode="External" /><Relationship Type="http://schemas.openxmlformats.org/officeDocument/2006/relationships/hyperlink" Id="rId24" Target="https://www.moncompteformation.gouv.fr/espace-public/evolution-des-regles-dutilisation-du-cpf-compter-du-2-octobre-2026" TargetMode="External" /><Relationship Type="http://schemas.openxmlformats.org/officeDocument/2006/relationships/hyperlink" Id="rId22" Target="https://www.revue-fiduciaire.com/actualite/article/cpf-apprentissage-emploi-des-jeunes-les-mesures-emploi-et-formation-du-plf-2027-11c20b04-9099-86a1-9c45-fcabb37be158" TargetMode="External" /><Relationship Type="http://schemas.openxmlformats.org/officeDocument/2006/relationships/hyperlink" Id="rId42" Target="https://www.ypareo.com/blog-formation/reforme-npec-2026-cfa" TargetMode="External" /></Relationships>
</file>

<file path=word/_rels/footnotes.xml.rels><?xml version="1.0" encoding="UTF-8"?><Relationships xmlns="http://schemas.openxmlformats.org/package/2006/relationships"><Relationship Type="http://schemas.openxmlformats.org/officeDocument/2006/relationships/hyperlink" Id="rId31" Target="https://certiforma.fr/qualiopi-v10/" TargetMode="External" /><Relationship Type="http://schemas.openxmlformats.org/officeDocument/2006/relationships/hyperlink" Id="rId25" Target="https://cpformation.com/cpf-vous-pouvez-acheter-aujourdhui-et-payer-jusqua-200-e-de-plus-en-2027/" TargetMode="External" /><Relationship Type="http://schemas.openxmlformats.org/officeDocument/2006/relationships/hyperlink" Id="rId28" Target="https://cpformation.com/octobre-2026-lopco-ne-choisira-plus-vos-organismes-de-formation-a-votre-place/" TargetMode="External" /><Relationship Type="http://schemas.openxmlformats.org/officeDocument/2006/relationships/hyperlink" Id="rId21" Target="https://cpformation.com/plf-2027-la-filiere-formation-alerte-sur-le-cpf-les-pric-et-lapprentissage/" TargetMode="External" /><Relationship Type="http://schemas.openxmlformats.org/officeDocument/2006/relationships/hyperlink" Id="rId46" Target="https://hop3team.com/ai-act-quel-impact-sur-la-formation-professionnelle-en-france/" TargetMode="External" /><Relationship Type="http://schemas.openxmlformats.org/officeDocument/2006/relationships/hyperlink" Id="rId47" Target="https://juritravail.com/Actualite/lia-dans-le-monde-du-travail-ce-que-prevoit-le-gouvernement-dans-son-plan-impulsion-ia-2027/Id/378600" TargetMode="External" /><Relationship Type="http://schemas.openxmlformats.org/officeDocument/2006/relationships/hyperlink" Id="rId29" Target="https://monpoleformation.fr/opco-fin-selection-imposee-organismes-formation-octobre-2026/" TargetMode="External" /><Relationship Type="http://schemas.openxmlformats.org/officeDocument/2006/relationships/hyperlink" Id="rId34" Target="https://of.moncompteformation.gouv.fr/espace-public/ressources/actualites" TargetMode="External" /><Relationship Type="http://schemas.openxmlformats.org/officeDocument/2006/relationships/hyperlink" Id="rId54" Target="https://pro.cap-metiers.fr/formation-vae/quiforme-facilite-la-recherche-dorganismes-de-formation-accessibles/" TargetMode="External" /><Relationship Type="http://schemas.openxmlformats.org/officeDocument/2006/relationships/hyperlink" Id="rId45" Target="https://tntic.com/2026/10/03/melee-numerique-ia-les-entreprises-vont-devoir-apprendre-a-travailler-autrement" TargetMode="External" /><Relationship Type="http://schemas.openxmlformats.org/officeDocument/2006/relationships/hyperlink" Id="rId26" Target="https://tpeactu.fr/2026/10/04/cpf-employeur-150-euros-formation-salarie-budget-2027/" TargetMode="External" /><Relationship Type="http://schemas.openxmlformats.org/officeDocument/2006/relationships/hyperlink" Id="rId32" Target="https://travail-emploi.gouv.fr/referentiel-national-qualite-guide-de-lecture-qualiopi" TargetMode="External" /><Relationship Type="http://schemas.openxmlformats.org/officeDocument/2006/relationships/hyperlink" Id="rId53" Target="https://www.agefiph.fr/actualites-handicap/appui-la-professionnalisation-le-parcours-complet-sur-laccessibilite-des" TargetMode="External" /><Relationship Type="http://schemas.openxmlformats.org/officeDocument/2006/relationships/hyperlink" Id="rId51" Target="https://www.agefiph.fr/actualites-handicap/seeph-2026-webinaires-les-10-septembre-et-6-octobre-pour-les-activateurs-de" TargetMode="External" /><Relationship Type="http://schemas.openxmlformats.org/officeDocument/2006/relationships/hyperlink" Id="rId39" Target="https://www.benjaminduplaa.com/blog/concepteur-pedagogique-digital-titre-professionnel-niveau-6" TargetMode="External" /><Relationship Type="http://schemas.openxmlformats.org/officeDocument/2006/relationships/hyperlink" Id="rId41" Target="https://www.francecompetences.fr/" TargetMode="External" /><Relationship Type="http://schemas.openxmlformats.org/officeDocument/2006/relationships/hyperlink" Id="rId37" Target="https://www.francecompetences.fr/deliberation-de-la-commission-de-la-certification-professionnelle/" TargetMode="External" /><Relationship Type="http://schemas.openxmlformats.org/officeDocument/2006/relationships/hyperlink" Id="rId24" Target="https://www.moncompteformation.gouv.fr/espace-public/evolution-des-regles-dutilisation-du-cpf-compter-du-2-octobre-2026" TargetMode="External" /><Relationship Type="http://schemas.openxmlformats.org/officeDocument/2006/relationships/hyperlink" Id="rId22" Target="https://www.revue-fiduciaire.com/actualite/article/cpf-apprentissage-emploi-des-jeunes-les-mesures-emploi-et-formation-du-plf-2027-11c20b04-9099-86a1-9c45-fcabb37be158" TargetMode="External" /><Relationship Type="http://schemas.openxmlformats.org/officeDocument/2006/relationships/hyperlink" Id="rId42" Target="https://www.ypareo.com/blog-formation/reforme-npec-2026-cf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2026-10-19T05:14:21Z</dcterms:created>
  <dcterms:modified xsi:type="dcterms:W3CDTF">2026-10-19T05:14:21Z</dcterms:modified>
</cp:coreProperties>
</file>

<file path=docProps/custom.xml><?xml version="1.0" encoding="utf-8"?>
<Properties xmlns="http://schemas.openxmlformats.org/officeDocument/2006/custom-properties" xmlns:vt="http://schemas.openxmlformats.org/officeDocument/2006/docPropsVTypes"/>
</file>