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fiche-de-veille-qualiopi-critère-6"/>
    <w:p>
      <w:pPr>
        <w:pStyle w:val="Heading1"/>
      </w:pPr>
      <w:r>
        <w:t xml:space="preserve">FICHE DE VEILLE — QUALIOPI CRITÈRE 6</w:t>
      </w:r>
    </w:p>
    <w:p>
      <w:pPr>
        <w:pStyle w:val="FirstParagraph"/>
      </w:pPr>
      <w:r>
        <w:rPr>
          <w:iCs/>
          <w:i/>
        </w:rPr>
        <w:t xml:space="preserve">Veille légale, réglementaire, métiers, pédagogique et handicap (indicateurs 23 à 26)</w:t>
      </w:r>
    </w:p>
    <w:p>
      <w:pPr>
        <w:pStyle w:val="BodyText"/>
      </w:pPr>
      <w:r>
        <w:rPr>
          <w:bCs/>
          <w:b/>
        </w:rPr>
        <w:t xml:space="preserve">Fiche n° 2026-04 • Réalisée le 28 septembre 2026 • Période couverte : 24 – 28 septembre 2026</w:t>
      </w:r>
    </w:p>
    <w:p>
      <w:pPr>
        <w:pStyle w:val="BodyText"/>
      </w:pPr>
      <w:r>
        <w:rPr>
          <w:bCs/>
          <w:b/>
        </w:rPr>
        <w:t xml:space="preserve">Organisme :</w:t>
      </w:r>
      <w:r>
        <w:t xml:space="preserve"> </w:t>
      </w:r>
      <w:r>
        <w:t xml:space="preserve">________________________</w:t>
      </w:r>
      <w:r>
        <w:t xml:space="preserve"> </w:t>
      </w:r>
      <w:r>
        <w:rPr>
          <w:bCs/>
          <w:b/>
        </w:rPr>
        <w:t xml:space="preserve">Visa du responsable :</w:t>
      </w:r>
      <w:r>
        <w:t xml:space="preserve"> </w:t>
      </w:r>
      <w:r>
        <w:t xml:space="preserve">____________</w:t>
      </w:r>
    </w:p>
    <w:bookmarkStart w:id="20" w:name="à-la-une-le-fait-marquant-de-la-période"/>
    <w:p>
      <w:pPr>
        <w:pStyle w:val="Heading2"/>
      </w:pPr>
      <w:r>
        <w:t xml:space="preserve">À la une — le fait marquant de la période</w:t>
      </w:r>
    </w:p>
    <w:p>
      <w:pPr>
        <w:pStyle w:val="FirstParagraph"/>
      </w:pPr>
      <w:r>
        <w:rPr>
          <w:bCs/>
          <w:b/>
        </w:rPr>
        <w:t xml:space="preserve">Budget 2027 : le ministère du Travail devra économiser 2,5 milliards d’euros — la formation professionnelle en première ligne.</w:t>
      </w:r>
      <w:r>
        <w:t xml:space="preserve"> </w:t>
      </w:r>
      <w:r>
        <w:t xml:space="preserve">Selon les informations des Échos (22 septembre) relayées et analysées cette semaine, les pistes d’arbitrage visent directement l’écosystème de la formation : mobilisation de l’excédent de France compétences (~1,1 Md€), réforme du CPF avec hausse envisagée de la participation forfaitaire (de 150 € vers ~350 €) et contrôle préalable des projets (300-350 M€), lutte contre la fraude à l’apprentissage (200-300 M€) et coupe d’environ 100 M€ à France Travail (~400 postes). Le projet de loi de finances sera présenté en</w:t>
      </w:r>
      <w:r>
        <w:t xml:space="preserve"> </w:t>
      </w:r>
      <w:r>
        <w:rPr>
          <w:bCs/>
          <w:b/>
        </w:rPr>
        <w:t xml:space="preserve">Conseil des ministres le 1er octobre</w:t>
      </w:r>
      <w:r>
        <w:t xml:space="preserve">. Rien n’est voté à ce stade, mais les organismes très dépendants du CPF doivent anticiper une contraction possible de la demande dès 2027. Dans le même temps, deux échéances immédiates : la</w:t>
      </w:r>
      <w:r>
        <w:t xml:space="preserve"> </w:t>
      </w:r>
      <w:r>
        <w:rPr>
          <w:bCs/>
          <w:b/>
        </w:rPr>
        <w:t xml:space="preserve">déclaration de sous-traitance 2025 sur EDOF avant le 30 septembre</w:t>
      </w:r>
      <w:r>
        <w:t xml:space="preserve"> </w:t>
      </w:r>
      <w:r>
        <w:t xml:space="preserve">(obligatoire même sans sous-traitance) et, à un mois de l’entrée en vigueur du référentiel à 33 indicateurs, un</w:t>
      </w:r>
      <w:r>
        <w:t xml:space="preserve"> </w:t>
      </w:r>
      <w:r>
        <w:rPr>
          <w:bCs/>
          <w:b/>
        </w:rPr>
        <w:t xml:space="preserve">guide de lecture V10 toujours non publié au 28 septembre</w:t>
      </w:r>
      <w:r>
        <w:t xml:space="preserve">.</w:t>
      </w:r>
    </w:p>
    <w:bookmarkEnd w:id="20"/>
    <w:bookmarkStart w:id="32" w:name="X5876ee4bbe0bd103dff81c4f15b870aca873b7a"/>
    <w:p>
      <w:pPr>
        <w:pStyle w:val="Heading2"/>
      </w:pPr>
      <w:r>
        <w:t xml:space="preserve">1. Veille légale et réglementaire (indicateur 23)</w:t>
      </w:r>
    </w:p>
    <w:bookmarkStart w:id="23" w:name="Xd8e76b24951c3eac692dea2308ac417e1ef14f8"/>
    <w:p>
      <w:pPr>
        <w:pStyle w:val="Heading3"/>
      </w:pPr>
      <w:r>
        <w:t xml:space="preserve">Budget 2027 : 2,5 milliards d’économies demandées au ministère du Travail</w:t>
      </w:r>
    </w:p>
    <w:p>
      <w:pPr>
        <w:pStyle w:val="FirstParagraph"/>
      </w:pPr>
      <w:r>
        <w:rPr>
          <w:bCs/>
          <w:b/>
        </w:rPr>
        <w:t xml:space="preserve">23-24/09/2026</w:t>
      </w:r>
      <w:r>
        <w:t xml:space="preserve"> </w:t>
      </w:r>
      <w:r>
        <w:t xml:space="preserve">— Les Échos (22/09), relayé par Économie Matin et la presse spécialisée</w:t>
      </w:r>
    </w:p>
    <w:p>
      <w:pPr>
        <w:pStyle w:val="BodyText"/>
      </w:pPr>
      <w:r>
        <w:t xml:space="preserve">L’effort national de 54 Md€ annoncé le 17 septembre se décline pour le ministère du Travail en 2,5 Md€ d’économies dans le PLF 2027. Leviers identifiés : excédent de France compétences (~1,1 Md€), « meilleur ciblage » du CPF avec hausse de la participation obligatoire (de 150 € vers ~350 €, +contrôle préalable des projets, 300-350 M€ attendus), lutte contre la fraude à l’apprentissage et mobilisation du solde de taxe d’apprentissage non affecté (400-500 M€ cumulés), compensation TVA des OPCO (160 M€) et réduction du budget de France Travail (~100 M€, ~400 postes). Présentation en Conseil des ministres le 1er octobre, débats parlementaires jusqu’en décembre. Aucune mesure n’est votée : ce sont des ordres de grandeur issus d’arbitrages en cours.</w:t>
      </w:r>
    </w:p>
    <w:p>
      <w:pPr>
        <w:pStyle w:val="BodyText"/>
      </w:pPr>
      <w:r>
        <w:rPr>
          <w:iCs/>
          <w:i/>
        </w:rPr>
        <w:t xml:space="preserve">Impact pour l’organisme : risque direct sur le volume d’achats CPF (le reste à charge à ~350 € dissuaderait les petits paniers) et sur les financements France Travail ; scénariser dès maintenant un budget 2027 avec repli du CPF, diversifier les financeurs (OPCO, entreprises, régions) et suivre le texte présenté le 1er octobre.</w:t>
      </w:r>
    </w:p>
    <w:p>
      <w:pPr>
        <w:pStyle w:val="BodyText"/>
      </w:pPr>
      <w:r>
        <w:t xml:space="preserve">Source :</w:t>
      </w:r>
      <w:r>
        <w:t xml:space="preserve"> </w:t>
      </w:r>
      <w:hyperlink r:id="rId21">
        <w:r>
          <w:rPr>
            <w:rStyle w:val="Hyperlink"/>
          </w:rPr>
          <w:t xml:space="preserve">https://www.economiematin.fr/chomage-formation-professionnelle-economies-budget-2027-ministere-travail</w:t>
        </w:r>
      </w:hyperlink>
      <w:r>
        <w:t xml:space="preserve"> </w:t>
      </w:r>
      <w:r>
        <w:t xml:space="preserve">•</w:t>
      </w:r>
      <w:r>
        <w:t xml:space="preserve"> </w:t>
      </w:r>
      <w:hyperlink r:id="rId22">
        <w:r>
          <w:rPr>
            <w:rStyle w:val="Hyperlink"/>
          </w:rPr>
          <w:t xml:space="preserve">https://certiforma.fr/budget-2027-formation-2-5-milliards/</w:t>
        </w:r>
      </w:hyperlink>
    </w:p>
    <w:bookmarkEnd w:id="23"/>
    <w:bookmarkStart w:id="25" w:name="X1d3309c34ded53dbe87a21e2b1232810f06e3a5"/>
    <w:p>
      <w:pPr>
        <w:pStyle w:val="Heading3"/>
      </w:pPr>
      <w:r>
        <w:t xml:space="preserve">Grève à France Travail le 29 septembre : anticiper les perturbations</w:t>
      </w:r>
    </w:p>
    <w:p>
      <w:pPr>
        <w:pStyle w:val="FirstParagraph"/>
      </w:pPr>
      <w:r>
        <w:rPr>
          <w:bCs/>
          <w:b/>
        </w:rPr>
        <w:t xml:space="preserve">26/09/2026</w:t>
      </w:r>
      <w:r>
        <w:t xml:space="preserve"> </w:t>
      </w:r>
      <w:r>
        <w:t xml:space="preserve">— Intersyndicale France Travail / analyse B. Duplaa</w:t>
      </w:r>
    </w:p>
    <w:p>
      <w:pPr>
        <w:pStyle w:val="BodyText"/>
      </w:pPr>
      <w:r>
        <w:t xml:space="preserve">Les dix syndicats de France Travail appellent à la grève le lundi 29 septembre (salaires, arrêt des réorganisations, recrutements en CDI, suspension des projets d’IA sans accord collectif), sur fond de restrictions budgétaires 2027 (~100 M€ et ~400 postes évoqués). Fermetures ou service réduit possibles en agence, rendez-vous annulés, traitement ralenti des dossiers de financement.</w:t>
      </w:r>
    </w:p>
    <w:p>
      <w:pPr>
        <w:pStyle w:val="BodyText"/>
      </w:pPr>
      <w:r>
        <w:rPr>
          <w:iCs/>
          <w:i/>
        </w:rPr>
        <w:t xml:space="preserve">Impact pour l’organisme : vérifier les rendez-vous et dossiers France Travail (AIF, POE, prescriptions) calés autour du 29/09, avancer les demandes de financement sans attendre les arbitrages budgétaires du 1er octobre, privilégier les canaux numériques cette semaine-là.</w:t>
      </w:r>
    </w:p>
    <w:p>
      <w:pPr>
        <w:pStyle w:val="BodyText"/>
      </w:pPr>
      <w:r>
        <w:t xml:space="preserve">Source :</w:t>
      </w:r>
      <w:r>
        <w:t xml:space="preserve"> </w:t>
      </w:r>
      <w:hyperlink r:id="rId24">
        <w:r>
          <w:rPr>
            <w:rStyle w:val="Hyperlink"/>
          </w:rPr>
          <w:t xml:space="preserve">https://www.benjaminduplaa.com/blog/greve-france-travail-29-septembre</w:t>
        </w:r>
      </w:hyperlink>
    </w:p>
    <w:bookmarkEnd w:id="25"/>
    <w:bookmarkStart w:id="28" w:name="Xcf1bd27c483730486d7eec06477ea9119232190"/>
    <w:p>
      <w:pPr>
        <w:pStyle w:val="Heading3"/>
      </w:pPr>
      <w:r>
        <w:t xml:space="preserve">Qualiopi V10 : à J-34, le guide de lecture n’est toujours pas publié</w:t>
      </w:r>
    </w:p>
    <w:p>
      <w:pPr>
        <w:pStyle w:val="FirstParagraph"/>
      </w:pPr>
      <w:r>
        <w:rPr>
          <w:bCs/>
          <w:b/>
        </w:rPr>
        <w:t xml:space="preserve">au 28/09/2026</w:t>
      </w:r>
      <w:r>
        <w:t xml:space="preserve"> </w:t>
      </w:r>
      <w:r>
        <w:t xml:space="preserve">— Ministère du Travail / analyses spécialisées</w:t>
      </w:r>
    </w:p>
    <w:p>
      <w:pPr>
        <w:pStyle w:val="BodyText"/>
      </w:pPr>
      <w:r>
        <w:t xml:space="preserve">À un peu plus d’un mois de l’entrée en vigueur du référentiel à 33 indicateurs (décret n° 2026-728, applicable au 1er novembre 2026), le guide de lecture V10 n’était toujours pas publié au 28 septembre, pas plus que les deux arrêtés attendus sur les indicateurs 19 (formation à distance) et 20 (effectifs permanents). Les analyses convergent : 12 indicateurs sur 32 réécrits, 33e indicateur réservé aux CFA, les OF « classiques » restant audités sur 32 indicateurs. Dernier point d’appui disponible : le webinaire « Qualiopi, contrôles, loi anti-fraude » du 29 septembre (11 h).</w:t>
      </w:r>
    </w:p>
    <w:p>
      <w:pPr>
        <w:pStyle w:val="BodyText"/>
      </w:pPr>
      <w:r>
        <w:rPr>
          <w:iCs/>
          <w:i/>
        </w:rPr>
        <w:t xml:space="preserve">Impact pour l’organisme : poursuivre l’auto-diagnostic V10 sans attendre le guide (revue des allégations publiques, clauses de conformité dans les contrats de sous-traitance, traçabilité du distanciel) ; vérifier chaque semaine la page « Référentiel national qualité » du ministère ; archiver l’inscription/replay du webinaire du 29/09 comme preuve de veille.</w:t>
      </w:r>
    </w:p>
    <w:p>
      <w:pPr>
        <w:pStyle w:val="BodyText"/>
      </w:pPr>
      <w:r>
        <w:t xml:space="preserve">Source :</w:t>
      </w:r>
      <w:r>
        <w:t xml:space="preserve"> </w:t>
      </w:r>
      <w:hyperlink r:id="rId26">
        <w:r>
          <w:rPr>
            <w:rStyle w:val="Hyperlink"/>
          </w:rPr>
          <w:t xml:space="preserve">https://certiforma.fr/qualiopi-v10/</w:t>
        </w:r>
      </w:hyperlink>
      <w:r>
        <w:t xml:space="preserve"> </w:t>
      </w:r>
      <w:r>
        <w:t xml:space="preserve">•</w:t>
      </w:r>
      <w:r>
        <w:t xml:space="preserve"> </w:t>
      </w:r>
      <w:hyperlink r:id="rId27">
        <w:r>
          <w:rPr>
            <w:rStyle w:val="Hyperlink"/>
          </w:rPr>
          <w:t xml:space="preserve">https://travail-emploi.gouv.fr/referentiel-national-qualite-guide-de-lecture-qualiopi</w:t>
        </w:r>
      </w:hyperlink>
    </w:p>
    <w:bookmarkEnd w:id="28"/>
    <w:bookmarkStart w:id="31" w:name="X78d08df9cac964150bf40dc9b96bfdc51f52afe"/>
    <w:p>
      <w:pPr>
        <w:pStyle w:val="Heading3"/>
      </w:pPr>
      <w:r>
        <w:t xml:space="preserve">Dernier rappel : déclaration de sous-traitance 2025 sur EDOF avant le 30 septembre</w:t>
      </w:r>
    </w:p>
    <w:p>
      <w:pPr>
        <w:pStyle w:val="FirstParagraph"/>
      </w:pPr>
      <w:r>
        <w:rPr>
          <w:bCs/>
          <w:b/>
        </w:rPr>
        <w:t xml:space="preserve">échéance au 30/09/2026</w:t>
      </w:r>
      <w:r>
        <w:t xml:space="preserve"> </w:t>
      </w:r>
      <w:r>
        <w:t xml:space="preserve">— Caisse des Dépôts / EDOF (guide pratique Digiformag du 22/09)</w:t>
      </w:r>
    </w:p>
    <w:p>
      <w:pPr>
        <w:pStyle w:val="BodyText"/>
      </w:pPr>
      <w:r>
        <w:t xml:space="preserve">La campagne 2026 de déclaration de sous-traitance (CA CPF 2025 réalisé, part sous-traitée) se clôt le 30 septembre. La déclaration est obligatoire pour tout organisme référencé EDOF, même en l’absence de sous-traitance (déclaration « néant »). Sanction encourue en cas de manquement : plafonnement à 80 % du CA CPF pouvant être sous-traité, voire mesures contractuelles de la Caisse des Dépôts.</w:t>
      </w:r>
    </w:p>
    <w:p>
      <w:pPr>
        <w:pStyle w:val="BodyText"/>
      </w:pPr>
      <w:r>
        <w:rPr>
          <w:iCs/>
          <w:i/>
        </w:rPr>
        <w:t xml:space="preserve">Impact pour l’organisme : si ce n’est pas déjà fait, effectuer la déclaration avant mardi soir et archiver l’accusé de dépôt (preuve indicateur 23 et conformité EDOF) ; enchaîner sans attendre sur la déclaration des blocs de compétences RNCP (échéance 22 octobre).</w:t>
      </w:r>
    </w:p>
    <w:p>
      <w:pPr>
        <w:pStyle w:val="BodyText"/>
      </w:pPr>
      <w:r>
        <w:t xml:space="preserve">Source :</w:t>
      </w:r>
      <w:r>
        <w:t xml:space="preserve"> </w:t>
      </w:r>
      <w:hyperlink r:id="rId29">
        <w:r>
          <w:rPr>
            <w:rStyle w:val="Hyperlink"/>
          </w:rPr>
          <w:t xml:space="preserve">https://www.digiformag.com/declaration-de-sous-traitance-cpf-sur-edof-le-guide-express-de-la-campagne-2026/</w:t>
        </w:r>
      </w:hyperlink>
      <w:r>
        <w:t xml:space="preserve"> </w:t>
      </w:r>
      <w:r>
        <w:t xml:space="preserve">•</w:t>
      </w:r>
      <w:r>
        <w:t xml:space="preserve"> </w:t>
      </w:r>
      <w:hyperlink r:id="rId30">
        <w:r>
          <w:rPr>
            <w:rStyle w:val="Hyperlink"/>
          </w:rPr>
          <w:t xml:space="preserve">https://of.moncompteformation.gouv.fr/espace-public/sous-traitance-debut-de-la-campagne-de-declaration-2026</w:t>
        </w:r>
      </w:hyperlink>
    </w:p>
    <w:bookmarkEnd w:id="31"/>
    <w:bookmarkEnd w:id="32"/>
    <w:bookmarkStart w:id="36" w:name="Xbb6cb3fc6155c3b4882d70d43cd43887fab2960"/>
    <w:p>
      <w:pPr>
        <w:pStyle w:val="Heading2"/>
      </w:pPr>
      <w:r>
        <w:t xml:space="preserve">2. Veille métiers, compétences et certifications (indicateur 23)</w:t>
      </w:r>
    </w:p>
    <w:p>
      <w:pPr>
        <w:pStyle w:val="FirstParagraph"/>
      </w:pPr>
      <w:r>
        <w:rPr>
          <w:iCs/>
          <w:i/>
        </w:rPr>
        <w:t xml:space="preserve">Côté enregistrements : toujours aucune nouvelle délibération RNCP/RS publiée — la dernière décision en ligne de la commission de la certification professionnelle reste celle du 17 juillet 2026 ; les décisions de rentrée sont attendues.</w:t>
      </w:r>
    </w:p>
    <w:p>
      <w:pPr>
        <w:pStyle w:val="BodyText"/>
      </w:pPr>
      <w:r>
        <w:t xml:space="preserve">Source :</w:t>
      </w:r>
      <w:r>
        <w:t xml:space="preserve"> </w:t>
      </w:r>
      <w:hyperlink r:id="rId33">
        <w:r>
          <w:rPr>
            <w:rStyle w:val="Hyperlink"/>
          </w:rPr>
          <w:t xml:space="preserve">https://www.francecompetences.fr/deliberation-de-la-commission-de-la-certification-professionnelle/</w:t>
        </w:r>
      </w:hyperlink>
    </w:p>
    <w:bookmarkStart w:id="35" w:name="X128b2265016ff41c6ab81c4e34ea802628d8675"/>
    <w:p>
      <w:pPr>
        <w:pStyle w:val="Heading3"/>
      </w:pPr>
      <w:r>
        <w:t xml:space="preserve">VAE : le vrai point de rupture n’est pas le jury mais le livret 2</w:t>
      </w:r>
    </w:p>
    <w:p>
      <w:pPr>
        <w:pStyle w:val="FirstParagraph"/>
      </w:pPr>
      <w:r>
        <w:rPr>
          <w:bCs/>
          <w:b/>
        </w:rPr>
        <w:t xml:space="preserve">25/09/2026</w:t>
      </w:r>
      <w:r>
        <w:t xml:space="preserve"> </w:t>
      </w:r>
      <w:r>
        <w:t xml:space="preserve">— Tableau de bord Cap Métiers Nouvelle-Aquitaine (suivi de 2 155 candidats reçus en 2025), analyse B. Duplaa</w:t>
      </w:r>
    </w:p>
    <w:p>
      <w:pPr>
        <w:pStyle w:val="BodyText"/>
      </w:pPr>
      <w:r>
        <w:t xml:space="preserve">Les données de suivi à 3 et 12 mois montrent que 36 % des candidats abandonnent dans l’année, que 40 % des poursuivants rédigent encore leur livret 2 au bout d’un an, mais que 81 % de ceux qui atteignent le jury obtiennent une validation totale. Les moins de 25 ans (50 % d’abandon) et les demandeurs d’emploi non accompagnés (54 % de poursuite seulement) sont les plus fragiles.</w:t>
      </w:r>
    </w:p>
    <w:p>
      <w:pPr>
        <w:pStyle w:val="BodyText"/>
      </w:pPr>
      <w:r>
        <w:rPr>
          <w:iCs/>
          <w:i/>
        </w:rPr>
        <w:t xml:space="preserve">Impact pour l’organisme : pour toute offre d’accompagnement VAE, sécuriser l’étape livret 2 (calendrier de rédaction contractualisé, jalons, relances), clarifier le financement dès l’entrée et formaliser des préconisations écrites après validation partielle — autant d’éléments qui nourrissent aussi les indicateurs 4, 10 et 11.</w:t>
      </w:r>
    </w:p>
    <w:p>
      <w:pPr>
        <w:pStyle w:val="BodyText"/>
      </w:pPr>
      <w:r>
        <w:t xml:space="preserve">Source :</w:t>
      </w:r>
      <w:r>
        <w:t xml:space="preserve"> </w:t>
      </w:r>
      <w:hyperlink r:id="rId34">
        <w:r>
          <w:rPr>
            <w:rStyle w:val="Hyperlink"/>
          </w:rPr>
          <w:t xml:space="preserve">https://www.benjaminduplaa.com/blog/vae-livret-2-jury-abandon-chiffres</w:t>
        </w:r>
      </w:hyperlink>
    </w:p>
    <w:bookmarkEnd w:id="35"/>
    <w:bookmarkEnd w:id="36"/>
    <w:bookmarkStart w:id="42" w:name="X406fcec4051a43c8b194b898d8715cc68458b80"/>
    <w:p>
      <w:pPr>
        <w:pStyle w:val="Heading2"/>
      </w:pPr>
      <w:r>
        <w:t xml:space="preserve">3. Veille sur les innovations pédagogiques et technologiques (indicateurs 24-25)</w:t>
      </w:r>
    </w:p>
    <w:bookmarkStart w:id="39" w:name="X160d43d9897e5bb460a6d78bc598f7ef8dc3a93"/>
    <w:p>
      <w:pPr>
        <w:pStyle w:val="Heading3"/>
      </w:pPr>
      <w:r>
        <w:t xml:space="preserve">Plan Impulsion IA : ce qui change concrètement pour les organismes de formation</w:t>
      </w:r>
    </w:p>
    <w:p>
      <w:pPr>
        <w:pStyle w:val="FirstParagraph"/>
      </w:pPr>
      <w:r>
        <w:rPr>
          <w:bCs/>
          <w:b/>
        </w:rPr>
        <w:t xml:space="preserve">24/09/2026</w:t>
      </w:r>
      <w:r>
        <w:t xml:space="preserve"> </w:t>
      </w:r>
      <w:r>
        <w:t xml:space="preserve">— Analyse Certiforma du plan « Impulsion IA 2027 » (ministère du Travail, 22/09)</w:t>
      </w:r>
    </w:p>
    <w:p>
      <w:pPr>
        <w:pStyle w:val="BodyText"/>
      </w:pPr>
      <w:r>
        <w:t xml:space="preserve">Première lecture « côté OF » du plan annoncé le 22 septembre : la plateforme publique gratuite « Explore IA » va redéfinir l’entrée de gamme (difficile de vendre cher une simple découverte de l’IA face à une offre d’État gratuite) ; une certification nationale développée avec l’Afpa et l’ANSSI va devenir la référence du marché (positionnement à faire évoluer vers la préparation à cette certification) ; l’IA devient priorité de cofinancement CPF — un levier d’autant plus décisif si la participation forfaitaire passe à ~350 € (écart de prix significatif entre formations cofinancées et non cofinancées). Nouvelles opportunités : EDEC IA sectoriels via les branches et parcours « apprentis » soutenus pour les CFA. Plus de 80 M€ sur l’année à venir ; textes d’application non publiés à ce jour.</w:t>
      </w:r>
    </w:p>
    <w:p>
      <w:pPr>
        <w:pStyle w:val="BodyText"/>
      </w:pPr>
      <w:r>
        <w:rPr>
          <w:iCs/>
          <w:i/>
        </w:rPr>
        <w:t xml:space="preserve">Impact pour l’organisme : repositionner l’offre IA au-dessus de l’initiation gratuite (cas d’usage métiers, certification visée), surveiller la publication de la certification État et des textes d’application, et se rapprocher de sa branche pour les EDEC IA.</w:t>
      </w:r>
    </w:p>
    <w:p>
      <w:pPr>
        <w:pStyle w:val="BodyText"/>
      </w:pPr>
      <w:r>
        <w:t xml:space="preserve">Source :</w:t>
      </w:r>
      <w:r>
        <w:t xml:space="preserve"> </w:t>
      </w:r>
      <w:hyperlink r:id="rId37">
        <w:r>
          <w:rPr>
            <w:rStyle w:val="Hyperlink"/>
          </w:rPr>
          <w:t xml:space="preserve">https://certiforma.fr/plan-impulsion-ia-organismes-formation/</w:t>
        </w:r>
      </w:hyperlink>
      <w:r>
        <w:t xml:space="preserve"> </w:t>
      </w:r>
      <w:r>
        <w:t xml:space="preserve">•</w:t>
      </w:r>
      <w:r>
        <w:t xml:space="preserve"> </w:t>
      </w:r>
      <w:hyperlink r:id="rId38">
        <w:r>
          <w:rPr>
            <w:rStyle w:val="Hyperlink"/>
          </w:rPr>
          <w:t xml:space="preserve">https://travail-emploi.gouv.fr/impulsion-ia-2027</w:t>
        </w:r>
      </w:hyperlink>
    </w:p>
    <w:bookmarkEnd w:id="39"/>
    <w:bookmarkStart w:id="41" w:name="Xa46cae01500eb650fca449137a68480c66dac69"/>
    <w:p>
      <w:pPr>
        <w:pStyle w:val="Heading3"/>
      </w:pPr>
      <w:r>
        <w:t xml:space="preserve">Webinaire du 29 septembre : « Qualiopi, contrôles, loi anti-fraude »</w:t>
      </w:r>
    </w:p>
    <w:p>
      <w:pPr>
        <w:pStyle w:val="FirstParagraph"/>
      </w:pPr>
      <w:r>
        <w:rPr>
          <w:bCs/>
          <w:b/>
        </w:rPr>
        <w:t xml:space="preserve">échéance au 29/09/2026, 11 h</w:t>
      </w:r>
      <w:r>
        <w:t xml:space="preserve"> </w:t>
      </w:r>
      <w:r>
        <w:t xml:space="preserve">— L’Atelier du Formateur / intervenants spécialisés</w:t>
      </w:r>
    </w:p>
    <w:p>
      <w:pPr>
        <w:pStyle w:val="BodyText"/>
      </w:pPr>
      <w:r>
        <w:t xml:space="preserve">Dernier rendez-vous annoncé avant octobre sur la préparation au nouveau référentiel : webinaire consacré au référentiel 33 indicateurs, aux contrôles renforcés et à la loi anti-fraude, pour CFA, OF et certificateurs. Le replay du webinaire « décryptage du décret » du 22 septembre reste disponible.</w:t>
      </w:r>
    </w:p>
    <w:p>
      <w:pPr>
        <w:pStyle w:val="BodyText"/>
      </w:pPr>
      <w:r>
        <w:rPr>
          <w:iCs/>
          <w:i/>
        </w:rPr>
        <w:t xml:space="preserve">Impact pour l’organisme : inscription (ou replay) à archiver comme preuve de veille et de professionnalisation (indicateurs 21-23) ; utile pour préparer les nouvelles exigences de contrôle avant le 1er novembre.</w:t>
      </w:r>
    </w:p>
    <w:p>
      <w:pPr>
        <w:pStyle w:val="BodyText"/>
      </w:pPr>
      <w:r>
        <w:t xml:space="preserve">Source :</w:t>
      </w:r>
      <w:r>
        <w:t xml:space="preserve"> </w:t>
      </w:r>
      <w:hyperlink r:id="rId40">
        <w:r>
          <w:rPr>
            <w:rStyle w:val="Hyperlink"/>
          </w:rPr>
          <w:t xml:space="preserve">https://latelierduformateur.fr/agenda-du-digital-learning-et-de-lia-septembre-2026/</w:t>
        </w:r>
      </w:hyperlink>
    </w:p>
    <w:bookmarkEnd w:id="41"/>
    <w:bookmarkEnd w:id="42"/>
    <w:bookmarkStart w:id="48" w:name="X3f0859653963368d38d74fba3081e07a4da06c8"/>
    <w:p>
      <w:pPr>
        <w:pStyle w:val="Heading2"/>
      </w:pPr>
      <w:r>
        <w:t xml:space="preserve">4. Veille handicap et accessibilité (indicateur 26)</w:t>
      </w:r>
    </w:p>
    <w:p>
      <w:pPr>
        <w:pStyle w:val="FirstParagraph"/>
      </w:pPr>
      <w:r>
        <w:rPr>
          <w:iCs/>
          <w:i/>
        </w:rPr>
        <w:t xml:space="preserve">Volet réglementaire calme sur la période : aucun nouveau texte repéré. L’actualité est opérationnelle (préparation SEEPH/DuoDay) et méthodologique.</w:t>
      </w:r>
    </w:p>
    <w:bookmarkStart w:id="44" w:name="X7130c25922ac5fe00cf5ea37a2939fe2953f56f"/>
    <w:p>
      <w:pPr>
        <w:pStyle w:val="Heading3"/>
      </w:pPr>
      <w:r>
        <w:t xml:space="preserve">Handicap en formation : passer de la conformité à une culture d’accueil</w:t>
      </w:r>
    </w:p>
    <w:p>
      <w:pPr>
        <w:pStyle w:val="FirstParagraph"/>
      </w:pPr>
      <w:r>
        <w:rPr>
          <w:bCs/>
          <w:b/>
        </w:rPr>
        <w:t xml:space="preserve">24/09/2026</w:t>
      </w:r>
      <w:r>
        <w:t xml:space="preserve"> </w:t>
      </w:r>
      <w:r>
        <w:t xml:space="preserve">— Digiformag (Charlotte Guillot)</w:t>
      </w:r>
    </w:p>
    <w:p>
      <w:pPr>
        <w:pStyle w:val="BodyText"/>
      </w:pPr>
      <w:r>
        <w:t xml:space="preserve">L’article dépasse la conformité formelle (référent handicap désigné, mention d’accessibilité) pour proposer une démarche de culture inclusive : recueil systématique des besoins dès le positionnement, aménagements raisonnables documentés, sensibilisation des formateurs, mobilisation des ressources externes (Agefiph, RHF) et amélioration continue à partir des situations rencontrées.</w:t>
      </w:r>
    </w:p>
    <w:p>
      <w:pPr>
        <w:pStyle w:val="BodyText"/>
      </w:pPr>
      <w:r>
        <w:rPr>
          <w:iCs/>
          <w:i/>
        </w:rPr>
        <w:t xml:space="preserve">Impact pour l’organisme : grille de relecture utile pour l’indicateur 26 nouvelle version — l’auditeur attendra des preuves d’effectivité (besoins recueillis, aménagements réalisés, partenariats mobilisés) et non une simple procédure ; à intégrer au plan d’action du référent handicap avant la SEEPH.</w:t>
      </w:r>
    </w:p>
    <w:p>
      <w:pPr>
        <w:pStyle w:val="BodyText"/>
      </w:pPr>
      <w:r>
        <w:t xml:space="preserve">Source :</w:t>
      </w:r>
      <w:r>
        <w:t xml:space="preserve"> </w:t>
      </w:r>
      <w:hyperlink r:id="rId43">
        <w:r>
          <w:rPr>
            <w:rStyle w:val="Hyperlink"/>
          </w:rPr>
          <w:t xml:space="preserve">https://www.digiformag.com/handicap-en-formation-comment-passer-de-la-simple-conformite-a-une-vraie-culture-daccueil/</w:t>
        </w:r>
      </w:hyperlink>
    </w:p>
    <w:bookmarkEnd w:id="44"/>
    <w:bookmarkStart w:id="47" w:name="X6d2fc62a46cf01fa150c68a08951e465678bb9f"/>
    <w:p>
      <w:pPr>
        <w:pStyle w:val="Heading3"/>
      </w:pPr>
      <w:r>
        <w:t xml:space="preserve">Rappels d’agenda : SEEPH (16-22 novembre) et DuoDay (19 novembre)</w:t>
      </w:r>
    </w:p>
    <w:p>
      <w:pPr>
        <w:pStyle w:val="FirstParagraph"/>
      </w:pPr>
      <w:r>
        <w:rPr>
          <w:bCs/>
          <w:b/>
        </w:rPr>
        <w:t xml:space="preserve">en cours</w:t>
      </w:r>
      <w:r>
        <w:t xml:space="preserve"> </w:t>
      </w:r>
      <w:r>
        <w:t xml:space="preserve">— Agefiph / Mon Parcours Handicap</w:t>
      </w:r>
    </w:p>
    <w:p>
      <w:pPr>
        <w:pStyle w:val="BodyText"/>
      </w:pPr>
      <w:r>
        <w:t xml:space="preserve">La préparation de la 30e SEEPH (« Démystifier, simplifier, accompagner. L’emploi pour toutes et tous ») se poursuit : replay du webinaire national du 22 septembre disponible, réunions inaugurales régionales le 16 novembre, forums de recrutement (dont Talents Handicap) les 19-20 novembre, inscriptions DuoDay ouvertes pour le jeudi 19 novembre.</w:t>
      </w:r>
    </w:p>
    <w:p>
      <w:pPr>
        <w:pStyle w:val="BodyText"/>
      </w:pPr>
      <w:r>
        <w:rPr>
          <w:iCs/>
          <w:i/>
        </w:rPr>
        <w:t xml:space="preserve">Impact pour l’organisme : arrêter le programme SEEPH de l’organisme et l’inscription DuoDay dès cette semaine (preuves concrètes indicateur 26).</w:t>
      </w:r>
    </w:p>
    <w:p>
      <w:pPr>
        <w:pStyle w:val="BodyText"/>
      </w:pPr>
      <w:r>
        <w:t xml:space="preserve">Source :</w:t>
      </w:r>
      <w:r>
        <w:t xml:space="preserve"> </w:t>
      </w:r>
      <w:hyperlink r:id="rId45">
        <w:r>
          <w:rPr>
            <w:rStyle w:val="Hyperlink"/>
          </w:rPr>
          <w:t xml:space="preserve">https://www.agefiph.fr/actualites-handicap/seeph-2026-une-edition-anniversaire-placee-sous-le-signe-de-laction</w:t>
        </w:r>
      </w:hyperlink>
      <w:r>
        <w:t xml:space="preserve"> </w:t>
      </w:r>
      <w:r>
        <w:t xml:space="preserve">•</w:t>
      </w:r>
      <w:r>
        <w:t xml:space="preserve"> </w:t>
      </w:r>
      <w:hyperlink r:id="rId46">
        <w:r>
          <w:rPr>
            <w:rStyle w:val="Hyperlink"/>
          </w:rPr>
          <w:t xml:space="preserve">https://www.monparcourshandicap.gouv.fr/actualite/duoday-2026-les-inscriptions-sont-ouvertes</w:t>
        </w:r>
      </w:hyperlink>
    </w:p>
    <w:bookmarkEnd w:id="47"/>
    <w:bookmarkEnd w:id="48"/>
    <w:bookmarkStart w:id="49" w:name="échéances-à-venir"/>
    <w:p>
      <w:pPr>
        <w:pStyle w:val="Heading2"/>
      </w:pPr>
      <w:r>
        <w:t xml:space="preserve">5. Échéances à venir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Échéance</w:t>
            </w:r>
          </w:p>
        </w:tc>
        <w:tc>
          <w:tcPr/>
          <w:p>
            <w:pPr>
              <w:pStyle w:val="Compact"/>
              <w:jc w:val="left"/>
            </w:pPr>
            <w:r>
              <w:t xml:space="preserve">Objet</w:t>
            </w:r>
          </w:p>
        </w:tc>
      </w:tr>
      <w:tr>
        <w:tc>
          <w:tcPr/>
          <w:p>
            <w:pPr>
              <w:pStyle w:val="Compact"/>
              <w:jc w:val="left"/>
            </w:pPr>
            <w:r>
              <w:rPr>
                <w:bCs/>
                <w:b/>
              </w:rPr>
              <w:t xml:space="preserve">29 sept. 2026</w:t>
            </w:r>
          </w:p>
        </w:tc>
        <w:tc>
          <w:tcPr/>
          <w:p>
            <w:pPr>
              <w:pStyle w:val="Compact"/>
              <w:jc w:val="left"/>
            </w:pPr>
            <w:r>
              <w:t xml:space="preserve">Grève France Travail (perturbations agences, rendez-vous, financements) • Webinaire « Qualiopi, contrôles, loi anti-fraude » à 11 h</w:t>
            </w:r>
          </w:p>
        </w:tc>
      </w:tr>
      <w:tr>
        <w:tc>
          <w:tcPr/>
          <w:p>
            <w:pPr>
              <w:pStyle w:val="Compact"/>
              <w:jc w:val="left"/>
            </w:pPr>
            <w:r>
              <w:rPr>
                <w:bCs/>
                <w:b/>
              </w:rPr>
              <w:t xml:space="preserve">30 sept. 2026</w:t>
            </w:r>
          </w:p>
        </w:tc>
        <w:tc>
          <w:tcPr/>
          <w:p>
            <w:pPr>
              <w:pStyle w:val="Compact"/>
              <w:jc w:val="left"/>
            </w:pPr>
            <w:r>
              <w:rPr>
                <w:bCs/>
                <w:b/>
              </w:rPr>
              <w:t xml:space="preserve">Date limite : déclaration de sous-traitance 2025 sur EDOF (tous organismes référencés, même sans sous-traitance)</w:t>
            </w:r>
          </w:p>
        </w:tc>
      </w:tr>
      <w:tr>
        <w:tc>
          <w:tcPr/>
          <w:p>
            <w:pPr>
              <w:pStyle w:val="Compact"/>
              <w:jc w:val="left"/>
            </w:pPr>
            <w:r>
              <w:t xml:space="preserve">1er oct. 2026</w:t>
            </w:r>
          </w:p>
        </w:tc>
        <w:tc>
          <w:tcPr/>
          <w:p>
            <w:pPr>
              <w:pStyle w:val="Compact"/>
              <w:jc w:val="left"/>
            </w:pPr>
            <w:r>
              <w:t xml:space="preserve">Présentation du PLF 2027 en Conseil des ministres (2,5 Md€ d’économies au ministère du Travail : CPF, apprentissage, France compétences)</w:t>
            </w:r>
          </w:p>
        </w:tc>
      </w:tr>
      <w:tr>
        <w:tc>
          <w:tcPr/>
          <w:p>
            <w:pPr>
              <w:pStyle w:val="Compact"/>
              <w:jc w:val="left"/>
            </w:pPr>
            <w:r>
              <w:t xml:space="preserve">5-16 oct. 2026</w:t>
            </w:r>
          </w:p>
        </w:tc>
        <w:tc>
          <w:tcPr/>
          <w:p>
            <w:pPr>
              <w:pStyle w:val="Compact"/>
              <w:jc w:val="left"/>
            </w:pPr>
            <w:r>
              <w:t xml:space="preserve">Semaines de l’évolution professionnelle : 70 webinaires gratuits (Apec / Avenir Actifs / France compétences)</w:t>
            </w:r>
          </w:p>
        </w:tc>
      </w:tr>
      <w:tr>
        <w:tc>
          <w:tcPr/>
          <w:p>
            <w:pPr>
              <w:pStyle w:val="Compact"/>
              <w:jc w:val="left"/>
            </w:pPr>
            <w:r>
              <w:t xml:space="preserve">8 oct. 2026</w:t>
            </w:r>
          </w:p>
        </w:tc>
        <w:tc>
          <w:tcPr/>
          <w:p>
            <w:pPr>
              <w:pStyle w:val="Compact"/>
              <w:jc w:val="left"/>
            </w:pPr>
            <w:r>
              <w:t xml:space="preserve">Date limite pour les branches : positionnement sur les NPEC révisés</w:t>
            </w:r>
          </w:p>
        </w:tc>
      </w:tr>
      <w:tr>
        <w:tc>
          <w:tcPr/>
          <w:p>
            <w:pPr>
              <w:pStyle w:val="Compact"/>
              <w:jc w:val="left"/>
            </w:pPr>
            <w:r>
              <w:rPr>
                <w:bCs/>
                <w:b/>
              </w:rPr>
              <w:t xml:space="preserve">22 oct. 2026</w:t>
            </w:r>
          </w:p>
        </w:tc>
        <w:tc>
          <w:tcPr/>
          <w:p>
            <w:pPr>
              <w:pStyle w:val="Compact"/>
              <w:jc w:val="left"/>
            </w:pPr>
            <w:r>
              <w:rPr>
                <w:bCs/>
                <w:b/>
              </w:rPr>
              <w:t xml:space="preserve">Date limite : déclaration des blocs de compétences RNCP sur EDOF (sinon retrait du moteur de recherche MCF)</w:t>
            </w:r>
          </w:p>
        </w:tc>
      </w:tr>
      <w:tr>
        <w:tc>
          <w:tcPr/>
          <w:p>
            <w:pPr>
              <w:pStyle w:val="Compact"/>
              <w:jc w:val="left"/>
            </w:pPr>
            <w:r>
              <w:t xml:space="preserve">31 oct. 2026</w:t>
            </w:r>
          </w:p>
        </w:tc>
        <w:tc>
          <w:tcPr/>
          <w:p>
            <w:pPr>
              <w:pStyle w:val="Compact"/>
              <w:jc w:val="left"/>
            </w:pPr>
            <w:r>
              <w:t xml:space="preserve">Dernier jour des audits Qualiopi sur l’ancien référentiel (32 indicateurs)</w:t>
            </w:r>
          </w:p>
        </w:tc>
      </w:tr>
      <w:tr>
        <w:tc>
          <w:tcPr/>
          <w:p>
            <w:pPr>
              <w:pStyle w:val="Compact"/>
              <w:jc w:val="left"/>
            </w:pPr>
            <w:r>
              <w:t xml:space="preserve">1er nov. 2026</w:t>
            </w:r>
          </w:p>
        </w:tc>
        <w:tc>
          <w:tcPr/>
          <w:p>
            <w:pPr>
              <w:pStyle w:val="Compact"/>
              <w:jc w:val="left"/>
            </w:pPr>
            <w:r>
              <w:t xml:space="preserve">Entrée en vigueur du référentiel Qualiopi à 33 indicateurs (décret n° 2026-728) — guide V10 et arrêtés ind. 19-20 toujours attendus</w:t>
            </w:r>
          </w:p>
        </w:tc>
      </w:tr>
      <w:tr>
        <w:tc>
          <w:tcPr/>
          <w:p>
            <w:pPr>
              <w:pStyle w:val="Compact"/>
              <w:jc w:val="left"/>
            </w:pPr>
            <w:r>
              <w:t xml:space="preserve">16-22 nov. 2026</w:t>
            </w:r>
          </w:p>
        </w:tc>
        <w:tc>
          <w:tcPr/>
          <w:p>
            <w:pPr>
              <w:pStyle w:val="Compact"/>
              <w:jc w:val="left"/>
            </w:pPr>
            <w:r>
              <w:t xml:space="preserve">SEEPH 2026 (30e édition) — réunions inaugurales régionales le 16 nov.</w:t>
            </w:r>
          </w:p>
        </w:tc>
      </w:tr>
      <w:tr>
        <w:tc>
          <w:tcPr/>
          <w:p>
            <w:pPr>
              <w:pStyle w:val="Compact"/>
              <w:jc w:val="left"/>
            </w:pPr>
            <w:r>
              <w:t xml:space="preserve">19 nov. 2026</w:t>
            </w:r>
          </w:p>
        </w:tc>
        <w:tc>
          <w:tcPr/>
          <w:p>
            <w:pPr>
              <w:pStyle w:val="Compact"/>
              <w:jc w:val="left"/>
            </w:pPr>
            <w:r>
              <w:t xml:space="preserve">DuoDay 2026 (inscriptions ouvertes)</w:t>
            </w:r>
          </w:p>
        </w:tc>
      </w:tr>
      <w:tr>
        <w:tc>
          <w:tcPr/>
          <w:p>
            <w:pPr>
              <w:pStyle w:val="Compact"/>
              <w:jc w:val="left"/>
            </w:pPr>
            <w:r>
              <w:t xml:space="preserve">Déc. 2026</w:t>
            </w:r>
          </w:p>
        </w:tc>
        <w:tc>
          <w:tcPr/>
          <w:p>
            <w:pPr>
              <w:pStyle w:val="Compact"/>
              <w:jc w:val="left"/>
            </w:pPr>
            <w:r>
              <w:t xml:space="preserve">Fin des débats parlementaires sur le PLF 2027</w:t>
            </w:r>
          </w:p>
        </w:tc>
      </w:tr>
      <w:tr>
        <w:tc>
          <w:tcPr/>
          <w:p>
            <w:pPr>
              <w:pStyle w:val="Compact"/>
              <w:jc w:val="left"/>
            </w:pPr>
            <w:r>
              <w:t xml:space="preserve">31 déc. 2026</w:t>
            </w:r>
          </w:p>
        </w:tc>
        <w:tc>
          <w:tcPr/>
          <w:p>
            <w:pPr>
              <w:pStyle w:val="Compact"/>
              <w:jc w:val="left"/>
            </w:pPr>
            <w:r>
              <w:t xml:space="preserve">Fin de l’aide exceptionnelle aux employeurs d’apprentis (contrats conclus avant cette date)</w:t>
            </w:r>
          </w:p>
        </w:tc>
      </w:tr>
      <w:tr>
        <w:tc>
          <w:tcPr/>
          <w:p>
            <w:pPr>
              <w:pStyle w:val="Compact"/>
              <w:jc w:val="left"/>
            </w:pPr>
            <w:r>
              <w:t xml:space="preserve">Début 2027</w:t>
            </w:r>
          </w:p>
        </w:tc>
        <w:tc>
          <w:tcPr/>
          <w:p>
            <w:pPr>
              <w:pStyle w:val="Compact"/>
              <w:jc w:val="left"/>
            </w:pPr>
            <w:r>
              <w:t xml:space="preserve">Mise en place annoncée de la 2e avance CPF pour les organismes (EDOF)</w:t>
            </w:r>
          </w:p>
        </w:tc>
      </w:tr>
    </w:tbl>
    <w:bookmarkEnd w:id="49"/>
    <w:bookmarkStart w:id="50" w:name="actions-à-prévoir"/>
    <w:p>
      <w:pPr>
        <w:pStyle w:val="Heading2"/>
      </w:pPr>
      <w:r>
        <w:t xml:space="preserve">6. Actions à prévoir</w:t>
      </w:r>
    </w:p>
    <w:p>
      <w:pPr>
        <w:numPr>
          <w:ilvl w:val="0"/>
          <w:numId w:val="1001"/>
        </w:numPr>
        <w:pStyle w:val="Compact"/>
      </w:pPr>
      <w:r>
        <w:rPr>
          <w:bCs/>
          <w:b/>
        </w:rPr>
        <w:t xml:space="preserve">Avant mardi 30 septembre (urgent)</w:t>
      </w:r>
      <w:r>
        <w:t xml:space="preserve"> </w:t>
      </w:r>
      <w:r>
        <w:t xml:space="preserve">: effectuer la déclaration de sous-traitance 2025 sur EDOF et archiver l’accusé de dépôt (obligatoire même sans sous-traitance).</w:t>
      </w:r>
    </w:p>
    <w:p>
      <w:pPr>
        <w:numPr>
          <w:ilvl w:val="0"/>
          <w:numId w:val="1001"/>
        </w:numPr>
        <w:pStyle w:val="Compact"/>
      </w:pPr>
      <w:r>
        <w:rPr>
          <w:bCs/>
          <w:b/>
        </w:rPr>
        <w:t xml:space="preserve">Lundi 29 septembre</w:t>
      </w:r>
      <w:r>
        <w:t xml:space="preserve"> </w:t>
      </w:r>
      <w:r>
        <w:t xml:space="preserve">: vérifier les rendez-vous et dossiers France Travail affectés par la grève ; avancer les demandes de financement avant les arbitrages du 1er octobre ; suivre le webinaire « Qualiopi, contrôles, loi anti-fraude » (11 h) ou réserver le replay.</w:t>
      </w:r>
    </w:p>
    <w:p>
      <w:pPr>
        <w:numPr>
          <w:ilvl w:val="0"/>
          <w:numId w:val="1001"/>
        </w:numPr>
        <w:pStyle w:val="Compact"/>
      </w:pPr>
      <w:r>
        <w:rPr>
          <w:bCs/>
          <w:b/>
        </w:rPr>
        <w:t xml:space="preserve">Semaine du 1er octobre</w:t>
      </w:r>
      <w:r>
        <w:t xml:space="preserve"> </w:t>
      </w:r>
      <w:r>
        <w:t xml:space="preserve">: analyser le PLF 2027 présenté en Conseil des ministres (CPF, participation forfaitaire, apprentissage, France compétences) et scénariser un budget 2027 avec repli du CPF ; diversifier les financeurs.</w:t>
      </w:r>
    </w:p>
    <w:p>
      <w:pPr>
        <w:numPr>
          <w:ilvl w:val="0"/>
          <w:numId w:val="1001"/>
        </w:numPr>
        <w:pStyle w:val="Compact"/>
      </w:pPr>
      <w:r>
        <w:t xml:space="preserve">Poursuivre l’auto-diagnostic Qualiopi V10 sans attendre le guide de lecture ; vérifier chaque semaine sa publication et celle des arrêtés indicateurs 19-20 sur travail-emploi.gouv.fr.</w:t>
      </w:r>
    </w:p>
    <w:p>
      <w:pPr>
        <w:numPr>
          <w:ilvl w:val="0"/>
          <w:numId w:val="1001"/>
        </w:numPr>
        <w:pStyle w:val="Compact"/>
      </w:pPr>
      <w:r>
        <w:rPr>
          <w:bCs/>
          <w:b/>
        </w:rPr>
        <w:t xml:space="preserve">Avant le 22 octobre</w:t>
      </w:r>
      <w:r>
        <w:t xml:space="preserve"> </w:t>
      </w:r>
      <w:r>
        <w:t xml:space="preserve">: renseigner les blocs de compétences des titres RNCP sur EDOF pour maintenir la visibilité sur Mon Compte Formation.</w:t>
      </w:r>
    </w:p>
    <w:p>
      <w:pPr>
        <w:numPr>
          <w:ilvl w:val="0"/>
          <w:numId w:val="1001"/>
        </w:numPr>
        <w:pStyle w:val="Compact"/>
      </w:pPr>
      <w:r>
        <w:t xml:space="preserve">Offre IA : repositionner au-dessus de l’initiation gratuite « Explore IA » (cas d’usage métiers, préparation à la future certification État Afpa/ANSSI) ; se rapprocher de sa branche pour les EDEC IA ; surveiller les textes d’application du plan Impulsion IA.</w:t>
      </w:r>
    </w:p>
    <w:p>
      <w:pPr>
        <w:numPr>
          <w:ilvl w:val="0"/>
          <w:numId w:val="1001"/>
        </w:numPr>
        <w:pStyle w:val="Compact"/>
      </w:pPr>
      <w:r>
        <w:t xml:space="preserve">Offre VAE : sécuriser l’étape livret 2 (calendrier contractualisé, jalons, relances) et formaliser les préconisations écrites post-jury, à la lumière des données Cap Métiers.</w:t>
      </w:r>
    </w:p>
    <w:p>
      <w:pPr>
        <w:numPr>
          <w:ilvl w:val="0"/>
          <w:numId w:val="1001"/>
        </w:numPr>
        <w:pStyle w:val="Compact"/>
      </w:pPr>
      <w:r>
        <w:t xml:space="preserve">Référent handicap : utiliser la grille « de la conformité à la culture d’accueil » (Digiformag 24/09) pour auditer les pratiques indicateur 26 ; finaliser le programme SEEPH et l’inscription DuoDay cette semaine.</w:t>
      </w:r>
    </w:p>
    <w:p>
      <w:pPr>
        <w:numPr>
          <w:ilvl w:val="0"/>
          <w:numId w:val="1001"/>
        </w:numPr>
        <w:pStyle w:val="Compact"/>
      </w:pPr>
      <w:r>
        <w:t xml:space="preserve">Archiver la présente fiche dans le classeur « Veille » et tracer en réunion les décisions prises à sa lecture (preuve d’exploitation de la veille).</w:t>
      </w:r>
    </w:p>
    <w:bookmarkEnd w:id="50"/>
    <w:bookmarkStart w:id="51" w:name="méthodologie-et-sources"/>
    <w:p>
      <w:pPr>
        <w:pStyle w:val="Heading2"/>
      </w:pPr>
      <w:r>
        <w:t xml:space="preserve">Méthodologie et sources</w:t>
      </w:r>
    </w:p>
    <w:p>
      <w:pPr>
        <w:pStyle w:val="FirstParagraph"/>
      </w:pPr>
      <w:r>
        <w:t xml:space="preserve">Veille réalisée le 28 septembre 2026 par recherche systématique sur les sources officielles et professionnelles : Légifrance/JO, ministère du Travail (travail-emploi.gouv.fr), France Compétences (actualités et délibérations), Caisse des Dépôts / EDOF (portail des organismes), Agefiph, Mon Parcours Handicap, presse économique (Les Échos via Économie Matin) et spécialisée (Certiforma, Digiformag, blog Benjamin Duplaa, L’Atelier du Formateur). Chaque information est datée et accompagnée de l’URL de sa source. Notes : à la suite de la liquidation judiciaire de Centre Inffo (juillet 2026), le « Quotidien de la formation » n’alimente plus la veille ; le guide de lecture Qualiopi V10 et les arrêtés des indicateurs 19-20 n’étaient pas publiés au 28 septembre 2026 ; aucune nouvelle délibération d’enregistrement RNCP/RS publiée depuis le 17 juillet 2026 ; l’accès direct à Légifrance et à la page ministérielle du guide de lecture était entravé par des dispositifs anti-robots à la date de rédaction (vérification croisée via sources secondaires).</w:t>
      </w:r>
    </w:p>
    <w:p>
      <w:pPr>
        <w:pStyle w:val="BodyText"/>
      </w:pPr>
      <w:r>
        <w:rPr>
          <w:iCs/>
          <w:i/>
        </w:rPr>
        <w:t xml:space="preserve">Fiche générée et archivée automatiquement — veille Qualiopi critère 6.</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certiforma.fr/budget-2027-formation-2-5-milliards/" TargetMode="External" /><Relationship Type="http://schemas.openxmlformats.org/officeDocument/2006/relationships/hyperlink" Id="rId37" Target="https://certiforma.fr/plan-impulsion-ia-organismes-formation/" TargetMode="External" /><Relationship Type="http://schemas.openxmlformats.org/officeDocument/2006/relationships/hyperlink" Id="rId26" Target="https://certiforma.fr/qualiopi-v10/" TargetMode="External" /><Relationship Type="http://schemas.openxmlformats.org/officeDocument/2006/relationships/hyperlink" Id="rId40" Target="https://latelierduformateur.fr/agenda-du-digital-learning-et-de-lia-septembre-2026/" TargetMode="External" /><Relationship Type="http://schemas.openxmlformats.org/officeDocument/2006/relationships/hyperlink" Id="rId30" Target="https://of.moncompteformation.gouv.fr/espace-public/sous-traitance-debut-de-la-campagne-de-declaration-2026" TargetMode="External" /><Relationship Type="http://schemas.openxmlformats.org/officeDocument/2006/relationships/hyperlink" Id="rId38" Target="https://travail-emploi.gouv.fr/impulsion-ia-2027" TargetMode="External" /><Relationship Type="http://schemas.openxmlformats.org/officeDocument/2006/relationships/hyperlink" Id="rId27" Target="https://travail-emploi.gouv.fr/referentiel-national-qualite-guide-de-lecture-qualiopi" TargetMode="External" /><Relationship Type="http://schemas.openxmlformats.org/officeDocument/2006/relationships/hyperlink" Id="rId45" Target="https://www.agefiph.fr/actualites-handicap/seeph-2026-une-edition-anniversaire-placee-sous-le-signe-de-laction" TargetMode="External" /><Relationship Type="http://schemas.openxmlformats.org/officeDocument/2006/relationships/hyperlink" Id="rId24" Target="https://www.benjaminduplaa.com/blog/greve-france-travail-29-septembre" TargetMode="External" /><Relationship Type="http://schemas.openxmlformats.org/officeDocument/2006/relationships/hyperlink" Id="rId34" Target="https://www.benjaminduplaa.com/blog/vae-livret-2-jury-abandon-chiffres" TargetMode="External" /><Relationship Type="http://schemas.openxmlformats.org/officeDocument/2006/relationships/hyperlink" Id="rId29" Target="https://www.digiformag.com/declaration-de-sous-traitance-cpf-sur-edof-le-guide-express-de-la-campagne-2026/" TargetMode="External" /><Relationship Type="http://schemas.openxmlformats.org/officeDocument/2006/relationships/hyperlink" Id="rId43" Target="https://www.digiformag.com/handicap-en-formation-comment-passer-de-la-simple-conformite-a-une-vraie-culture-daccueil/" TargetMode="External" /><Relationship Type="http://schemas.openxmlformats.org/officeDocument/2006/relationships/hyperlink" Id="rId21" Target="https://www.economiematin.fr/chomage-formation-professionnelle-economies-budget-2027-ministere-travail" TargetMode="External" /><Relationship Type="http://schemas.openxmlformats.org/officeDocument/2006/relationships/hyperlink" Id="rId33" Target="https://www.francecompetences.fr/deliberation-de-la-commission-de-la-certification-professionnelle/" TargetMode="External" /><Relationship Type="http://schemas.openxmlformats.org/officeDocument/2006/relationships/hyperlink" Id="rId46" Target="https://www.monparcourshandicap.gouv.fr/actualite/duoday-2026-les-inscriptions-sont-ouvertes" TargetMode="External" /></Relationships>
</file>

<file path=word/_rels/footnotes.xml.rels><?xml version="1.0" encoding="UTF-8"?><Relationships xmlns="http://schemas.openxmlformats.org/package/2006/relationships"><Relationship Type="http://schemas.openxmlformats.org/officeDocument/2006/relationships/hyperlink" Id="rId22" Target="https://certiforma.fr/budget-2027-formation-2-5-milliards/" TargetMode="External" /><Relationship Type="http://schemas.openxmlformats.org/officeDocument/2006/relationships/hyperlink" Id="rId37" Target="https://certiforma.fr/plan-impulsion-ia-organismes-formation/" TargetMode="External" /><Relationship Type="http://schemas.openxmlformats.org/officeDocument/2006/relationships/hyperlink" Id="rId26" Target="https://certiforma.fr/qualiopi-v10/" TargetMode="External" /><Relationship Type="http://schemas.openxmlformats.org/officeDocument/2006/relationships/hyperlink" Id="rId40" Target="https://latelierduformateur.fr/agenda-du-digital-learning-et-de-lia-septembre-2026/" TargetMode="External" /><Relationship Type="http://schemas.openxmlformats.org/officeDocument/2006/relationships/hyperlink" Id="rId30" Target="https://of.moncompteformation.gouv.fr/espace-public/sous-traitance-debut-de-la-campagne-de-declaration-2026" TargetMode="External" /><Relationship Type="http://schemas.openxmlformats.org/officeDocument/2006/relationships/hyperlink" Id="rId38" Target="https://travail-emploi.gouv.fr/impulsion-ia-2027" TargetMode="External" /><Relationship Type="http://schemas.openxmlformats.org/officeDocument/2006/relationships/hyperlink" Id="rId27" Target="https://travail-emploi.gouv.fr/referentiel-national-qualite-guide-de-lecture-qualiopi" TargetMode="External" /><Relationship Type="http://schemas.openxmlformats.org/officeDocument/2006/relationships/hyperlink" Id="rId45" Target="https://www.agefiph.fr/actualites-handicap/seeph-2026-une-edition-anniversaire-placee-sous-le-signe-de-laction" TargetMode="External" /><Relationship Type="http://schemas.openxmlformats.org/officeDocument/2006/relationships/hyperlink" Id="rId24" Target="https://www.benjaminduplaa.com/blog/greve-france-travail-29-septembre" TargetMode="External" /><Relationship Type="http://schemas.openxmlformats.org/officeDocument/2006/relationships/hyperlink" Id="rId34" Target="https://www.benjaminduplaa.com/blog/vae-livret-2-jury-abandon-chiffres" TargetMode="External" /><Relationship Type="http://schemas.openxmlformats.org/officeDocument/2006/relationships/hyperlink" Id="rId29" Target="https://www.digiformag.com/declaration-de-sous-traitance-cpf-sur-edof-le-guide-express-de-la-campagne-2026/" TargetMode="External" /><Relationship Type="http://schemas.openxmlformats.org/officeDocument/2006/relationships/hyperlink" Id="rId43" Target="https://www.digiformag.com/handicap-en-formation-comment-passer-de-la-simple-conformite-a-une-vraie-culture-daccueil/" TargetMode="External" /><Relationship Type="http://schemas.openxmlformats.org/officeDocument/2006/relationships/hyperlink" Id="rId21" Target="https://www.economiematin.fr/chomage-formation-professionnelle-economies-budget-2027-ministere-travail" TargetMode="External" /><Relationship Type="http://schemas.openxmlformats.org/officeDocument/2006/relationships/hyperlink" Id="rId33" Target="https://www.francecompetences.fr/deliberation-de-la-commission-de-la-certification-professionnelle/" TargetMode="External" /><Relationship Type="http://schemas.openxmlformats.org/officeDocument/2006/relationships/hyperlink" Id="rId46" Target="https://www.monparcourshandicap.gouv.fr/actualite/duoday-2026-les-inscriptions-sont-ouver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2026-10-26T05:16:49Z</dcterms:created>
  <dcterms:modified xsi:type="dcterms:W3CDTF">2026-10-26T05:16:49Z</dcterms:modified>
</cp:coreProperties>
</file>

<file path=docProps/custom.xml><?xml version="1.0" encoding="utf-8"?>
<Properties xmlns="http://schemas.openxmlformats.org/officeDocument/2006/custom-properties" xmlns:vt="http://schemas.openxmlformats.org/officeDocument/2006/docPropsVTypes"/>
</file>